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pPr>
      <w:r>
        <w:rPr>
          <w:rFonts w:ascii="Calibri" w:cs="Calibri" w:eastAsia="Calibri" w:hAnsi="Calibri"/>
          <w:b/>
          <w:bCs/>
          <w:color w:val="C0392B"/>
          <w:sz w:val="16"/>
          <w:szCs w:val="16"/>
        </w:rPr>
        <w:t xml:space="preserve">AI IMPLEMENTATION  ·  WHITEPAPER FOR EXECUTIVES</w:t>
      </w:r>
    </w:p>
    <w:p>
      <w:pPr>
        <w:spacing w:after="60" w:before="80" w:line="380"/>
      </w:pPr>
      <w:r>
        <w:rPr>
          <w:rFonts w:ascii="Calibri" w:cs="Calibri" w:eastAsia="Calibri" w:hAnsi="Calibri"/>
          <w:b/>
          <w:bCs/>
          <w:color w:val="1F2A44"/>
          <w:sz w:val="44"/>
          <w:szCs w:val="44"/>
        </w:rPr>
        <w:t xml:space="preserve">Why Most AI Investments</w:t>
      </w:r>
    </w:p>
    <w:p>
      <w:pPr>
        <w:spacing w:after="120" w:before="0" w:line="380"/>
      </w:pPr>
      <w:r>
        <w:rPr>
          <w:rFonts w:ascii="Calibri" w:cs="Calibri" w:eastAsia="Calibri" w:hAnsi="Calibri"/>
          <w:b/>
          <w:bCs/>
          <w:color w:val="1F2A44"/>
          <w:sz w:val="44"/>
          <w:szCs w:val="44"/>
        </w:rPr>
        <w:t xml:space="preserve">Quietly Disappear — and How to Make Yours Last</w:t>
      </w:r>
    </w:p>
    <w:p>
      <w:pPr>
        <w:spacing w:after="240" w:before="0" w:line="320"/>
        <w:jc w:val="left"/>
      </w:pPr>
      <w:r>
        <w:rPr>
          <w:rFonts w:ascii="Calibri" w:cs="Calibri" w:eastAsia="Calibri" w:hAnsi="Calibri"/>
          <w:b w:val="false"/>
          <w:bCs w:val="false"/>
          <w:i/>
          <w:iCs/>
          <w:color w:val="595959"/>
          <w:sz w:val="22"/>
          <w:szCs w:val="22"/>
        </w:rPr>
        <w:t xml:space="preserve">A practical method for founders and CEOs of small and mid-sized companies who plan to invest in AI in the next 12 months — and want the investment to compound, not evaporate.</w:t>
      </w:r>
    </w:p>
    <w:p>
      <w:pPr>
        <w:pBdr>
          <w:bottom w:val="single" w:color="BFBFBF" w:sz="6" w:space="1"/>
        </w:pBdr>
        <w:spacing w:after="60" w:before="60"/>
      </w:pPr>
      <w:r>
        <w:rPr>
          <w:rFonts w:ascii="Calibri" w:cs="Calibri" w:eastAsia="Calibri" w:hAnsi="Calibri"/>
        </w:rPr>
        <w:t xml:space="preserve"/>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FFFFFF" w:val="clear"/>
            <w:tcMar>
              <w:top w:type="dxa" w:w="140"/>
              <w:left w:type="dxa" w:w="100"/>
              <w:bottom w:type="dxa" w:w="140"/>
              <w:right w:type="dxa" w:w="100"/>
            </w:tcMar>
          </w:tcPr>
          <w:p>
            <w:pPr>
              <w:spacing w:after="40" w:before="0" w:line="240"/>
              <w:jc w:val="center"/>
            </w:pPr>
            <w:r>
              <w:rPr>
                <w:rFonts w:ascii="Calibri" w:cs="Calibri" w:eastAsia="Calibri" w:hAnsi="Calibri"/>
                <w:b/>
                <w:bCs/>
                <w:color w:val="C0392B"/>
                <w:sz w:val="36"/>
                <w:szCs w:val="36"/>
              </w:rPr>
              <w:t xml:space="preserve">70–85%</w:t>
            </w:r>
          </w:p>
          <w:p>
            <w:pPr>
              <w:spacing w:after="0" w:before="0" w:line="240"/>
              <w:jc w:val="center"/>
            </w:pPr>
            <w:r>
              <w:rPr>
                <w:rFonts w:ascii="Calibri" w:cs="Calibri" w:eastAsia="Calibri" w:hAnsi="Calibri"/>
                <w:color w:val="1F2A44"/>
                <w:sz w:val="16"/>
                <w:szCs w:val="16"/>
              </w:rPr>
              <w:t xml:space="preserve">of enterprise AI projects fail to deliver expected value</w:t>
            </w:r>
          </w:p>
        </w:tc>
        <w:tc>
          <w:tcPr>
            <w:tcW w:type="dxa" w:w="3120"/>
            <w:tcBorders>
              <w:top w:val="single" w:color="C0392B" w:sz="4"/>
              <w:left w:val="none" w:color="FFFFFF" w:sz="0"/>
              <w:bottom w:val="single" w:color="C0392B" w:sz="4"/>
              <w:right w:val="single" w:color="C0392B" w:sz="4"/>
            </w:tcBorders>
            <w:shd w:fill="FFFFFF" w:val="clear"/>
            <w:tcMar>
              <w:top w:type="dxa" w:w="140"/>
              <w:left w:type="dxa" w:w="100"/>
              <w:bottom w:type="dxa" w:w="140"/>
              <w:right w:type="dxa" w:w="100"/>
            </w:tcMar>
          </w:tcPr>
          <w:p>
            <w:pPr>
              <w:spacing w:after="40" w:before="0" w:line="240"/>
              <w:jc w:val="center"/>
            </w:pPr>
            <w:r>
              <w:rPr>
                <w:rFonts w:ascii="Calibri" w:cs="Calibri" w:eastAsia="Calibri" w:hAnsi="Calibri"/>
                <w:b/>
                <w:bCs/>
                <w:color w:val="C0392B"/>
                <w:sz w:val="36"/>
                <w:szCs w:val="36"/>
              </w:rPr>
              <w:t xml:space="preserve">12–18 mo</w:t>
            </w:r>
          </w:p>
          <w:p>
            <w:pPr>
              <w:spacing w:after="0" w:before="0" w:line="240"/>
              <w:jc w:val="center"/>
            </w:pPr>
            <w:r>
              <w:rPr>
                <w:rFonts w:ascii="Calibri" w:cs="Calibri" w:eastAsia="Calibri" w:hAnsi="Calibri"/>
                <w:color w:val="1F2A44"/>
                <w:sz w:val="16"/>
                <w:szCs w:val="16"/>
              </w:rPr>
              <w:t xml:space="preserve">typical time to first AI in production without a method</w:t>
            </w:r>
          </w:p>
        </w:tc>
        <w:tc>
          <w:tcPr>
            <w:tcW w:type="dxa" w:w="3120"/>
            <w:tcBorders>
              <w:top w:val="single" w:color="C0392B" w:sz="4"/>
              <w:left w:val="none" w:color="FFFFFF" w:sz="0"/>
              <w:bottom w:val="single" w:color="C0392B" w:sz="4"/>
              <w:right w:val="single" w:color="C0392B" w:sz="4"/>
            </w:tcBorders>
            <w:shd w:fill="FFFFFF" w:val="clear"/>
            <w:tcMar>
              <w:top w:type="dxa" w:w="140"/>
              <w:left w:type="dxa" w:w="100"/>
              <w:bottom w:type="dxa" w:w="140"/>
              <w:right w:type="dxa" w:w="100"/>
            </w:tcMar>
          </w:tcPr>
          <w:p>
            <w:pPr>
              <w:spacing w:after="40" w:before="0" w:line="240"/>
              <w:jc w:val="center"/>
            </w:pPr>
            <w:r>
              <w:rPr>
                <w:rFonts w:ascii="Calibri" w:cs="Calibri" w:eastAsia="Calibri" w:hAnsi="Calibri"/>
                <w:b/>
                <w:bCs/>
                <w:color w:val="C0392B"/>
                <w:sz w:val="36"/>
                <w:szCs w:val="36"/>
              </w:rPr>
              <w:t xml:space="preserve">3–5×</w:t>
            </w:r>
          </w:p>
          <w:p>
            <w:pPr>
              <w:spacing w:after="0" w:before="0" w:line="240"/>
              <w:jc w:val="center"/>
            </w:pPr>
            <w:r>
              <w:rPr>
                <w:rFonts w:ascii="Calibri" w:cs="Calibri" w:eastAsia="Calibri" w:hAnsi="Calibri"/>
                <w:color w:val="1F2A44"/>
                <w:sz w:val="16"/>
                <w:szCs w:val="16"/>
              </w:rPr>
              <w:t xml:space="preserve">ROI difference between organizations with and without one</w:t>
            </w:r>
          </w:p>
        </w:tc>
      </w:tr>
    </w:tbl>
    <w:p>
      <w:pPr>
        <w:spacing w:after="0" w:before="120"/>
      </w:pPr>
      <w:r>
        <w:rPr>
          <w:rFonts w:ascii="Calibri" w:cs="Calibri" w:eastAsia="Calibri" w:hAnsi="Calibri"/>
        </w:rPr>
        <w:t xml:space="preserve"/>
      </w:r>
    </w:p>
    <w:p>
      <w:pPr>
        <w:pStyle w:val="Heading2"/>
        <w:spacing w:after="80" w:before="180" w:line="280"/>
      </w:pPr>
      <w:r>
        <w:rPr>
          <w:rFonts w:ascii="Calibri" w:cs="Calibri" w:eastAsia="Calibri" w:hAnsi="Calibri"/>
          <w:b/>
          <w:bCs/>
          <w:color w:val="1F2A44"/>
          <w:sz w:val="24"/>
          <w:szCs w:val="24"/>
        </w:rPr>
        <w:t xml:space="preserve">The conversation has changed.</w:t>
      </w:r>
    </w:p>
    <w:p>
      <w:pPr>
        <w:spacing w:after="60" w:before="60" w:line="280"/>
        <w:jc w:val="left"/>
      </w:pPr>
      <w:r>
        <w:rPr>
          <w:rFonts w:ascii="Calibri" w:cs="Calibri" w:eastAsia="Calibri" w:hAnsi="Calibri"/>
          <w:b w:val="false"/>
          <w:bCs w:val="false"/>
          <w:i w:val="false"/>
          <w:iCs w:val="false"/>
          <w:color w:val="1F2A44"/>
          <w:sz w:val="20"/>
          <w:szCs w:val="20"/>
        </w:rPr>
        <w:t xml:space="preserve">The question on your executive committee is no longer whether AI is part of the strategy. It is. The question is how to make sure the money you put behind it produces lasting results, instead of pilots that quietly shut down two quarters from now.</w:t>
      </w:r>
    </w:p>
    <w:p>
      <w:pPr>
        <w:spacing w:after="60" w:before="60" w:line="280"/>
        <w:jc w:val="left"/>
      </w:pPr>
      <w:r>
        <w:rPr>
          <w:rFonts w:ascii="Calibri" w:cs="Calibri" w:eastAsia="Calibri" w:hAnsi="Calibri"/>
          <w:b w:val="false"/>
          <w:bCs w:val="false"/>
          <w:i w:val="false"/>
          <w:iCs w:val="false"/>
          <w:color w:val="1F2A44"/>
          <w:sz w:val="20"/>
          <w:szCs w:val="20"/>
        </w:rPr>
        <w:t xml:space="preserve">That’s the difference between AI that creates a competitive advantage and AI that becomes a costly anecdote. And the difference is rarely about the technology itself. It comes down to five much less visible things: alignment with your strategy, the readiness of your organization to operate it, the right type of AI for each problem, the discipline to actually ship it, and — above all — the people who have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FF7E6" w:val="clear"/>
            <w:tcMar>
              <w:top w:type="dxa" w:w="140"/>
              <w:left w:type="dxa" w:w="200"/>
              <w:bottom w:type="dxa" w:w="140"/>
              <w:right w:type="dxa" w:w="200"/>
            </w:tcMar>
          </w:tcPr>
          <w:p>
            <w:pPr>
              <w:spacing w:after="60" w:before="0" w:line="260"/>
            </w:pPr>
            <w:r>
              <w:rPr>
                <w:rFonts w:ascii="Calibri" w:cs="Calibri" w:eastAsia="Calibri" w:hAnsi="Calibri"/>
                <w:b/>
                <w:bCs/>
                <w:color w:val="1F2A44"/>
                <w:sz w:val="20"/>
                <w:szCs w:val="20"/>
              </w:rPr>
              <w:t xml:space="preserve">What this paper gives you</w:t>
            </w:r>
          </w:p>
          <w:p>
            <w:pPr>
              <w:spacing w:after="0" w:before="0" w:line="260"/>
            </w:pPr>
            <w:r>
              <w:rPr>
                <w:rFonts w:ascii="Calibri" w:cs="Calibri" w:eastAsia="Calibri" w:hAnsi="Calibri"/>
                <w:color w:val="1F2A44"/>
                <w:sz w:val="20"/>
                <w:szCs w:val="20"/>
              </w:rPr>
              <w:t xml:space="preserve">A clear read of the moment, a framework for diagnosing your own readiness, an honest view of the returns small and mid-sized companies can realistically expect, and a four-week first step you can act on this quarter.</w:t>
            </w:r>
          </w:p>
        </w:tc>
      </w:tr>
    </w:tbl>
    <w:p>
      <w:pPr>
        <w:pStyle w:val="Heading1"/>
        <w:pBdr>
          <w:bottom w:val="single" w:color="C0392B" w:sz="12" w:space="6"/>
        </w:pBdr>
        <w:spacing w:after="120" w:before="240" w:line="280"/>
      </w:pPr>
      <w:r>
        <w:rPr>
          <w:rFonts w:ascii="Calibri" w:cs="Calibri" w:eastAsia="Calibri" w:hAnsi="Calibri"/>
          <w:b/>
          <w:bCs/>
          <w:color w:val="1F2A44"/>
          <w:sz w:val="32"/>
          <w:szCs w:val="32"/>
        </w:rPr>
        <w:t xml:space="preserve">The five reasons most AI projects don’t make it</w:t>
      </w:r>
    </w:p>
    <w:p>
      <w:pPr>
        <w:spacing w:after="60" w:before="60" w:line="280"/>
        <w:jc w:val="left"/>
      </w:pPr>
      <w:r>
        <w:rPr>
          <w:rFonts w:ascii="Calibri" w:cs="Calibri" w:eastAsia="Calibri" w:hAnsi="Calibri"/>
          <w:b w:val="false"/>
          <w:bCs w:val="false"/>
          <w:i w:val="false"/>
          <w:iCs w:val="false"/>
          <w:color w:val="1F2A44"/>
          <w:sz w:val="20"/>
          <w:szCs w:val="20"/>
        </w:rPr>
        <w:t xml:space="preserve">If 70–85% of enterprise AI initiatives miss the mark, the cause is rarely the model. The models work. The breakdown happens before and after the technical work — and almost always lands in one of five places.</w:t>
      </w:r>
    </w:p>
    <w:p>
      <w:pPr>
        <w:pStyle w:val="ListParagraph"/>
        <w:numPr>
          <w:ilvl w:val="0"/>
          <w:numId w:val="2"/>
        </w:numPr>
        <w:spacing w:after="40" w:before="40" w:line="280"/>
      </w:pPr>
      <w:r>
        <w:rPr>
          <w:rFonts w:ascii="Calibri" w:cs="Calibri" w:eastAsia="Calibri" w:hAnsi="Calibri"/>
          <w:b/>
          <w:bCs/>
          <w:i w:val="false"/>
          <w:iCs w:val="false"/>
          <w:color w:val="1F2A44"/>
          <w:sz w:val="20"/>
          <w:szCs w:val="20"/>
        </w:rPr>
        <w:t xml:space="preserve">No strategic alignment. </w:t>
      </w:r>
      <w:r>
        <w:rPr>
          <w:rFonts w:ascii="Calibri" w:cs="Calibri" w:eastAsia="Calibri" w:hAnsi="Calibri"/>
          <w:b w:val="false"/>
          <w:bCs w:val="false"/>
          <w:i w:val="false"/>
          <w:iCs w:val="false"/>
          <w:color w:val="1F2A44"/>
          <w:sz w:val="20"/>
          <w:szCs w:val="20"/>
        </w:rPr>
        <w:t xml:space="preserve">Pilots launched out of one team’s enthusiasm, disconnected from the year’s priorities. They die on first contact with the budget cycle.</w:t>
      </w:r>
    </w:p>
    <w:p>
      <w:pPr>
        <w:pStyle w:val="ListParagraph"/>
        <w:numPr>
          <w:ilvl w:val="0"/>
          <w:numId w:val="2"/>
        </w:numPr>
        <w:spacing w:after="40" w:before="40" w:line="280"/>
      </w:pPr>
      <w:r>
        <w:rPr>
          <w:rFonts w:ascii="Calibri" w:cs="Calibri" w:eastAsia="Calibri" w:hAnsi="Calibri"/>
          <w:b/>
          <w:bCs/>
          <w:i w:val="false"/>
          <w:iCs w:val="false"/>
          <w:color w:val="1F2A44"/>
          <w:sz w:val="20"/>
          <w:szCs w:val="20"/>
        </w:rPr>
        <w:t xml:space="preserve">Data isn’t actually ready. </w:t>
      </w:r>
      <w:r>
        <w:rPr>
          <w:rFonts w:ascii="Calibri" w:cs="Calibri" w:eastAsia="Calibri" w:hAnsi="Calibri"/>
          <w:b w:val="false"/>
          <w:bCs w:val="false"/>
          <w:i w:val="false"/>
          <w:iCs w:val="false"/>
          <w:color w:val="1F2A44"/>
          <w:sz w:val="20"/>
          <w:szCs w:val="20"/>
        </w:rPr>
        <w:t xml:space="preserve">The initiative quietly assumes data quality and access the company doesn’t have. Six months in, the real first job turns out to be data governance — not AI.</w:t>
      </w:r>
    </w:p>
    <w:p>
      <w:pPr>
        <w:pStyle w:val="ListParagraph"/>
        <w:numPr>
          <w:ilvl w:val="0"/>
          <w:numId w:val="2"/>
        </w:numPr>
        <w:spacing w:after="40" w:before="40" w:line="280"/>
      </w:pPr>
      <w:r>
        <w:rPr>
          <w:rFonts w:ascii="Calibri" w:cs="Calibri" w:eastAsia="Calibri" w:hAnsi="Calibri"/>
          <w:b/>
          <w:bCs/>
          <w:i w:val="false"/>
          <w:iCs w:val="false"/>
          <w:color w:val="1F2A44"/>
          <w:sz w:val="20"/>
          <w:szCs w:val="20"/>
        </w:rPr>
        <w:t xml:space="preserve">Wrong family of AI for the problem. </w:t>
      </w:r>
      <w:r>
        <w:rPr>
          <w:rFonts w:ascii="Calibri" w:cs="Calibri" w:eastAsia="Calibri" w:hAnsi="Calibri"/>
          <w:b w:val="false"/>
          <w:bCs w:val="false"/>
          <w:i w:val="false"/>
          <w:iCs w:val="false"/>
          <w:color w:val="1F2A44"/>
          <w:sz w:val="20"/>
          <w:szCs w:val="20"/>
        </w:rPr>
        <w:t xml:space="preserve">GenAI used where classic ML would have been the answer, or ML used where simple rules would have done it. Over-engineering and under-engineering are equally expensive.</w:t>
      </w:r>
    </w:p>
    <w:p>
      <w:pPr>
        <w:pStyle w:val="ListParagraph"/>
        <w:numPr>
          <w:ilvl w:val="0"/>
          <w:numId w:val="2"/>
        </w:numPr>
        <w:spacing w:after="40" w:before="40" w:line="280"/>
      </w:pPr>
      <w:r>
        <w:rPr>
          <w:rFonts w:ascii="Calibri" w:cs="Calibri" w:eastAsia="Calibri" w:hAnsi="Calibri"/>
          <w:b/>
          <w:bCs/>
          <w:i w:val="false"/>
          <w:iCs w:val="false"/>
          <w:color w:val="1F2A44"/>
          <w:sz w:val="20"/>
          <w:szCs w:val="20"/>
        </w:rPr>
        <w:t xml:space="preserve">No implementation discipline. </w:t>
      </w:r>
      <w:r>
        <w:rPr>
          <w:rFonts w:ascii="Calibri" w:cs="Calibri" w:eastAsia="Calibri" w:hAnsi="Calibri"/>
          <w:b w:val="false"/>
          <w:bCs w:val="false"/>
          <w:i w:val="false"/>
          <w:iCs w:val="false"/>
          <w:color w:val="1F2A44"/>
          <w:sz w:val="20"/>
          <w:szCs w:val="20"/>
        </w:rPr>
        <w:t xml:space="preserve">PoCs that never reach production, no quality gates, no monitoring, no clear owner. The work stalls in a permanent grey zone.</w:t>
      </w:r>
    </w:p>
    <w:p>
      <w:pPr>
        <w:pStyle w:val="ListParagraph"/>
        <w:numPr>
          <w:ilvl w:val="0"/>
          <w:numId w:val="2"/>
        </w:numPr>
        <w:spacing w:after="40" w:before="40" w:line="280"/>
      </w:pPr>
      <w:r>
        <w:rPr>
          <w:rFonts w:ascii="Calibri" w:cs="Calibri" w:eastAsia="Calibri" w:hAnsi="Calibri"/>
          <w:b/>
          <w:bCs/>
          <w:i w:val="false"/>
          <w:iCs w:val="false"/>
          <w:color w:val="1F2A44"/>
          <w:sz w:val="20"/>
          <w:szCs w:val="20"/>
        </w:rPr>
        <w:t xml:space="preserve">People don’t adopt it. </w:t>
      </w:r>
      <w:r>
        <w:rPr>
          <w:rFonts w:ascii="Calibri" w:cs="Calibri" w:eastAsia="Calibri" w:hAnsi="Calibri"/>
          <w:b w:val="false"/>
          <w:bCs w:val="false"/>
          <w:i w:val="false"/>
          <w:iCs w:val="false"/>
          <w:color w:val="1F2A44"/>
          <w:sz w:val="20"/>
          <w:szCs w:val="20"/>
        </w:rPr>
        <w:t xml:space="preserve">The silent killer. Systems that pass every technical metric, but no one uses them — because they don’t trust them, don’t understand them, or feel threatened by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8C" w:sz="4"/>
              <w:left w:val="single" w:color="5B3F8C" w:sz="18"/>
              <w:bottom w:val="single" w:color="5B3F8C" w:sz="4"/>
              <w:right w:val="single" w:color="5B3F8C" w:sz="4"/>
            </w:tcBorders>
            <w:shd w:fill="F4F1FB" w:val="clear"/>
            <w:tcMar>
              <w:top w:type="dxa" w:w="140"/>
              <w:left w:type="dxa" w:w="200"/>
              <w:bottom w:type="dxa" w:w="140"/>
              <w:right w:type="dxa" w:w="200"/>
            </w:tcMar>
          </w:tcPr>
          <w:p>
            <w:pPr>
              <w:spacing w:after="60" w:before="0" w:line="260"/>
            </w:pPr>
            <w:r>
              <w:rPr>
                <w:rFonts w:ascii="Calibri" w:cs="Calibri" w:eastAsia="Calibri" w:hAnsi="Calibri"/>
                <w:b/>
                <w:bCs/>
                <w:color w:val="1F2A44"/>
                <w:sz w:val="20"/>
                <w:szCs w:val="20"/>
              </w:rPr>
              <w:t xml:space="preserve">The thesis of this paper</w:t>
            </w:r>
          </w:p>
          <w:p>
            <w:pPr>
              <w:spacing w:after="0" w:before="0" w:line="260"/>
            </w:pPr>
            <w:r>
              <w:rPr>
                <w:rFonts w:ascii="Calibri" w:cs="Calibri" w:eastAsia="Calibri" w:hAnsi="Calibri"/>
                <w:color w:val="1F2A44"/>
                <w:sz w:val="20"/>
                <w:szCs w:val="20"/>
              </w:rPr>
              <w:t xml:space="preserve">None of these five problems are solved with more technology or better models. They’re solved with a method — one applied consistently before, during, and after each initiative.</w:t>
            </w:r>
          </w:p>
        </w:tc>
      </w:tr>
    </w:tbl>
    <w:p>
      <w:pPr>
        <w:pStyle w:val="Heading1"/>
        <w:pBdr>
          <w:bottom w:val="single" w:color="C0392B" w:sz="12" w:space="6"/>
        </w:pBdr>
        <w:spacing w:after="120" w:before="240" w:line="280"/>
      </w:pPr>
      <w:r>
        <w:rPr>
          <w:rFonts w:ascii="Calibri" w:cs="Calibri" w:eastAsia="Calibri" w:hAnsi="Calibri"/>
          <w:b/>
          <w:bCs/>
          <w:color w:val="1F2A44"/>
          <w:sz w:val="32"/>
          <w:szCs w:val="32"/>
        </w:rPr>
        <w:t xml:space="preserve">The five vectors where AI actually moves the needle</w:t>
      </w:r>
    </w:p>
    <w:p>
      <w:pPr>
        <w:spacing w:after="60" w:before="60" w:line="280"/>
        <w:jc w:val="left"/>
      </w:pPr>
      <w:r>
        <w:rPr>
          <w:rFonts w:ascii="Calibri" w:cs="Calibri" w:eastAsia="Calibri" w:hAnsi="Calibri"/>
          <w:b w:val="false"/>
          <w:bCs w:val="false"/>
          <w:i w:val="false"/>
          <w:iCs w:val="false"/>
          <w:color w:val="1F2A44"/>
          <w:sz w:val="20"/>
          <w:szCs w:val="20"/>
        </w:rPr>
        <w:t xml:space="preserve">AI isn’t an end in itself. It’s a way to shift metrics that already matter to you. Almost every successful case lands in one of five places — and your priorities should reflect where your business is in its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Value vector</w:t>
            </w:r>
          </w:p>
        </w:tc>
        <w:tc>
          <w:tcPr>
            <w:tcW w:type="dxa" w:w="42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How it creates value</w:t>
            </w:r>
          </w:p>
        </w:tc>
        <w:tc>
          <w:tcPr>
            <w:tcW w:type="dxa" w:w="296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Where it usually shows up first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Operational efficiency</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Automating repetitive work, cutting cycle time, eliminating manual errors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Unit cost, cycle time, error rate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Revenue growth</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Personalization, dynamic pricing, smarter cross-sell and up-sell</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Conversion, average ticket, revenue per customer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Customer experience</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24/7 support, faster first-contact resolution, less friction in the journey</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NPS, CSAT, retention, response time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Risk management</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Fraud detection, compliance monitoring, anomaly identification</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Fraud losses, regulatory capital, undetected events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Talent and productivity</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Co-pilots, writing assistants, internal search, time freed from admin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Productivity per employee, retention, onboarding speed</w:t>
            </w:r>
          </w:p>
        </w:tc>
      </w:tr>
    </w:tbl>
    <w:p>
      <w:pPr>
        <w:spacing w:after="60" w:before="60" w:line="280"/>
        <w:jc w:val="left"/>
      </w:pPr>
      <w:r>
        <w:rPr>
          <w:rFonts w:ascii="Calibri" w:cs="Calibri" w:eastAsia="Calibri" w:hAnsi="Calibri"/>
          <w:b w:val="false"/>
          <w:bCs w:val="false"/>
          <w:i/>
          <w:iCs/>
          <w:color w:val="595959"/>
          <w:sz w:val="20"/>
          <w:szCs w:val="20"/>
        </w:rPr>
        <w:t xml:space="preserve">A growth-stage business prioritizes revenue and experience. A consolidating business prioritizes efficiency and risk. Trying to chase all five at once is the most reliable way to make no real progress on any of them.</w:t>
      </w:r>
    </w:p>
    <w:p>
      <w:pPr>
        <w:pStyle w:val="Heading1"/>
        <w:pBdr>
          <w:bottom w:val="single" w:color="C0392B" w:sz="12" w:space="6"/>
        </w:pBdr>
        <w:spacing w:after="120" w:before="240" w:line="280"/>
      </w:pPr>
      <w:r>
        <w:rPr>
          <w:rFonts w:ascii="Calibri" w:cs="Calibri" w:eastAsia="Calibri" w:hAnsi="Calibri"/>
          <w:b/>
          <w:bCs/>
          <w:color w:val="1F2A44"/>
          <w:sz w:val="32"/>
          <w:szCs w:val="32"/>
        </w:rPr>
        <w:t xml:space="preserve">Are you actually ready? The five-dimension diagnosis</w:t>
      </w:r>
    </w:p>
    <w:p>
      <w:pPr>
        <w:spacing w:after="60" w:before="60" w:line="280"/>
        <w:jc w:val="left"/>
      </w:pPr>
      <w:r>
        <w:rPr>
          <w:rFonts w:ascii="Calibri" w:cs="Calibri" w:eastAsia="Calibri" w:hAnsi="Calibri"/>
          <w:b w:val="false"/>
          <w:bCs w:val="false"/>
          <w:i w:val="false"/>
          <w:iCs w:val="false"/>
          <w:color w:val="1F2A44"/>
          <w:sz w:val="20"/>
          <w:szCs w:val="20"/>
        </w:rPr>
        <w:t xml:space="preserve">Readiness for AI isn’t measured by how many pilots you’ve run or how big your budget is. It’s measured across five dimensions. The combination of where you stand on each one defines a realistic pace — and where you’ll get into trouble if you push too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Dimension</w:t>
            </w:r>
          </w:p>
        </w:tc>
        <w:tc>
          <w:tcPr>
            <w:tcW w:type="dxa" w:w="40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What it really measures</w:t>
            </w:r>
          </w:p>
        </w:tc>
        <w:tc>
          <w:tcPr>
            <w:tcW w:type="dxa" w:w="366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When it’s weak…</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Data</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Availability, quality, governance and accessibility of business data</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Projects discover too late that the first job was data, not AI</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Technology</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Platform, infrastructure, integration capabilities, MLOps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Every initiative reinvents architecture; nothing gets reused</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Talent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Internal capabilities in data, AI engineering, AI product and project management</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The team depends on a single vendor and never builds capacity</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Processes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Portfolio discipline, governance, lifecycles, quality gates, monitoring</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Endless pilots, ownerless products, constant rework</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Culture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Risk appetite, openness to change, trust in data, leadership behavior</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Solutions work technically, but people don’t use them</w:t>
            </w:r>
          </w:p>
        </w:tc>
      </w:tr>
    </w:tbl>
    <w:p>
      <w:pPr>
        <w:spacing w:after="60" w:before="60" w:line="280"/>
        <w:jc w:val="left"/>
      </w:pPr>
      <w:r>
        <w:rPr>
          <w:rFonts w:ascii="Calibri" w:cs="Calibri" w:eastAsia="Calibri" w:hAnsi="Calibri"/>
          <w:b w:val="false"/>
          <w:bCs w:val="false"/>
          <w:i w:val="false"/>
          <w:iCs w:val="false"/>
          <w:color w:val="1F2A44"/>
          <w:sz w:val="20"/>
          <w:szCs w:val="20"/>
        </w:rPr>
        <w:t xml:space="preserve">Most companies formally starting their AI journey land somewhere between Level 2 and Level 3 in four of these dimensions, and Level 1–2 in culture. That’s not a bad place — it’s a normal one. What matters isn’t where you start; it’s whether you advance dimension by dimension without dangerous imbalances.</w:t>
      </w:r>
    </w:p>
    <w:p>
      <w:pPr>
        <w:pStyle w:val="Heading1"/>
        <w:pBdr>
          <w:bottom w:val="single" w:color="C0392B" w:sz="12" w:space="6"/>
        </w:pBdr>
        <w:spacing w:after="120" w:before="240" w:line="280"/>
      </w:pPr>
      <w:r>
        <w:rPr>
          <w:rFonts w:ascii="Calibri" w:cs="Calibri" w:eastAsia="Calibri" w:hAnsi="Calibri"/>
          <w:b/>
          <w:bCs/>
          <w:color w:val="1F2A44"/>
          <w:sz w:val="32"/>
          <w:szCs w:val="32"/>
        </w:rPr>
        <w:t xml:space="preserve">Our seven-module method, in plain English</w:t>
      </w:r>
    </w:p>
    <w:p>
      <w:pPr>
        <w:spacing w:after="60" w:before="60" w:line="280"/>
        <w:jc w:val="left"/>
      </w:pPr>
      <w:r>
        <w:rPr>
          <w:rFonts w:ascii="Calibri" w:cs="Calibri" w:eastAsia="Calibri" w:hAnsi="Calibri"/>
          <w:b w:val="false"/>
          <w:bCs w:val="false"/>
          <w:i w:val="false"/>
          <w:iCs w:val="false"/>
          <w:color w:val="1F2A44"/>
          <w:sz w:val="20"/>
          <w:szCs w:val="20"/>
        </w:rPr>
        <w:t xml:space="preserve">The methodology isn’t theory. It’s the sum of practices that separate AI projects that scale from the ones that don’t — packaged as seven modules covering the full cycle from strategy to long-term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t>
            </w:r>
          </w:p>
        </w:tc>
        <w:tc>
          <w:tcPr>
            <w:tcW w:type="dxa" w:w="33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Module</w:t>
            </w:r>
          </w:p>
        </w:tc>
        <w:tc>
          <w:tcPr>
            <w:tcW w:type="dxa" w:w="546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What it solves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Foundations &amp; strategic alignment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Connects AI to strategy, prioritizes value vectors, diagnoses maturity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Diagnosis &amp; opportunity map</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Heat-maps each functional area; identifies and qualifies real candidates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Innovation portfolio</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Quick wins and transformational bets, governance, prioritization criteria</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AI decision framework</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Rules vs. classic ML vs. GenAI — with a decision tree, not a hunch</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Recipes by functional area</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How the framework applies to sales, finance, HR, ops, marketing, service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6</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Implementation &amp; change management</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Five-phase lifecycle with gates, plus a real plan for adoption and fear of replacement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Sustainability &amp; center of excellence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Operating model, governance, capacity-building, portfolio 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FF7E6" w:val="clear"/>
            <w:tcMar>
              <w:top w:type="dxa" w:w="140"/>
              <w:left w:type="dxa" w:w="200"/>
              <w:bottom w:type="dxa" w:w="140"/>
              <w:right w:type="dxa" w:w="200"/>
            </w:tcMar>
          </w:tcPr>
          <w:p>
            <w:pPr>
              <w:spacing w:after="60" w:before="0" w:line="260"/>
            </w:pPr>
            <w:r>
              <w:rPr>
                <w:rFonts w:ascii="Calibri" w:cs="Calibri" w:eastAsia="Calibri" w:hAnsi="Calibri"/>
                <w:b/>
                <w:bCs/>
                <w:color w:val="1F2A44"/>
                <w:sz w:val="20"/>
                <w:szCs w:val="20"/>
              </w:rPr>
              <w:t xml:space="preserve">What makes this method different</w:t>
            </w:r>
          </w:p>
          <w:p>
            <w:pPr>
              <w:spacing w:after="0" w:before="0" w:line="260"/>
            </w:pPr>
            <w:r>
              <w:rPr>
                <w:rFonts w:ascii="Calibri" w:cs="Calibri" w:eastAsia="Calibri" w:hAnsi="Calibri"/>
                <w:color w:val="1F2A44"/>
                <w:sz w:val="20"/>
                <w:szCs w:val="20"/>
              </w:rPr>
              <w:t xml:space="preserve">It’s vendor-agnostic (no buying recommendation hidden inside a framework), it’s executable (every module ships actionable artifacts — templates, gates, scoring matrices), and it covers what most others omit: change management, fear of replacement, trust calibration, and human-AI workflow design. It’s also built to be compliant with the EU AI Act, GDPR, NIST AI RMF and ISO 42001 from day one — not as a remediation later.</w:t>
            </w:r>
          </w:p>
        </w:tc>
      </w:tr>
    </w:tbl>
    <w:p>
      <w:pPr>
        <w:pStyle w:val="Heading1"/>
        <w:pBdr>
          <w:bottom w:val="single" w:color="C0392B" w:sz="12" w:space="6"/>
        </w:pBdr>
        <w:spacing w:after="120" w:before="240" w:line="280"/>
      </w:pPr>
      <w:r>
        <w:rPr>
          <w:rFonts w:ascii="Calibri" w:cs="Calibri" w:eastAsia="Calibri" w:hAnsi="Calibri"/>
          <w:b/>
          <w:bCs/>
          <w:color w:val="1F2A44"/>
          <w:sz w:val="32"/>
          <w:szCs w:val="32"/>
        </w:rPr>
        <w:t xml:space="preserve">What this looks like for a small or mid-sized company</w:t>
      </w:r>
    </w:p>
    <w:p>
      <w:pPr>
        <w:spacing w:after="60" w:before="60" w:line="280"/>
        <w:jc w:val="left"/>
      </w:pPr>
      <w:r>
        <w:rPr>
          <w:rFonts w:ascii="Calibri" w:cs="Calibri" w:eastAsia="Calibri" w:hAnsi="Calibri"/>
          <w:b w:val="false"/>
          <w:bCs w:val="false"/>
          <w:i w:val="false"/>
          <w:iCs w:val="false"/>
          <w:color w:val="1F2A44"/>
          <w:sz w:val="20"/>
          <w:szCs w:val="20"/>
        </w:rPr>
        <w:t xml:space="preserve">Most of our work with companies between 200 and 2,000 employees follows a recognizable pattern. Solid operations, nascent AI capabilities, two or three obvious candidates and a board that wants discipline rather than fireworks. The numbers below are indicative ranges based on real engagements and public benchmarks — not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Time to first case in production</w:t>
            </w:r>
          </w:p>
        </w:tc>
        <w:tc>
          <w:tcPr>
            <w:tcW w:type="dxa" w:w="312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Typical Year 1 investment</w:t>
            </w:r>
          </w:p>
        </w:tc>
        <w:tc>
          <w:tcPr>
            <w:tcW w:type="dxa" w:w="312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Realistic 24-month ROI</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4–6 months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USD 150K – 500K</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2× – 5×</w:t>
            </w:r>
          </w:p>
        </w:tc>
      </w:tr>
    </w:tbl>
    <w:p>
      <w:pPr>
        <w:spacing w:after="60" w:before="60" w:line="280"/>
        <w:jc w:val="left"/>
      </w:pPr>
      <w:r>
        <w:rPr>
          <w:rFonts w:ascii="Calibri" w:cs="Calibri" w:eastAsia="Calibri" w:hAnsi="Calibri"/>
          <w:b w:val="false"/>
          <w:bCs w:val="false"/>
          <w:i/>
          <w:iCs/>
          <w:color w:val="595959"/>
          <w:sz w:val="20"/>
          <w:szCs w:val="20"/>
        </w:rPr>
        <w:t xml:space="preserve">The biggest risk for companies in this profile isn’t moving too slowly. It’s biting off more than the team can chew — opening three fronts in parallel and closing none of them. Our recommended focus: two cases in twelve months, both fully in production and operated, before opening the third.</w:t>
      </w:r>
    </w:p>
    <w:p>
      <w:pPr>
        <w:pStyle w:val="Heading2"/>
        <w:spacing w:after="80" w:before="180" w:line="280"/>
      </w:pPr>
      <w:r>
        <w:rPr>
          <w:rFonts w:ascii="Calibri" w:cs="Calibri" w:eastAsia="Calibri" w:hAnsi="Calibri"/>
          <w:b/>
          <w:bCs/>
          <w:color w:val="1F2A44"/>
          <w:sz w:val="24"/>
          <w:szCs w:val="24"/>
        </w:rPr>
        <w:t xml:space="preserve">The cost of waiting is not zero</w:t>
      </w:r>
    </w:p>
    <w:p>
      <w:pPr>
        <w:spacing w:after="60" w:before="60" w:line="280"/>
        <w:jc w:val="left"/>
      </w:pPr>
      <w:r>
        <w:rPr>
          <w:rFonts w:ascii="Calibri" w:cs="Calibri" w:eastAsia="Calibri" w:hAnsi="Calibri"/>
          <w:b w:val="false"/>
          <w:bCs w:val="false"/>
          <w:i w:val="false"/>
          <w:iCs w:val="false"/>
          <w:color w:val="1F2A44"/>
          <w:sz w:val="20"/>
          <w:szCs w:val="20"/>
        </w:rPr>
        <w:t xml:space="preserve">“Wait and see” feels safe. It isn’t. Three things compound quietly while you wait: a data gap (every quarter you’re not instrumenting is one your competitor is), a talent gap (AI talent is supply-constrained, and early movers lock it in), and an organizational learning gap (operating AI is a muscle you can’t buy — only build through real production cases).</w:t>
      </w:r>
    </w:p>
    <w:p>
      <w:pPr>
        <w:pStyle w:val="Heading1"/>
        <w:pBdr>
          <w:bottom w:val="single" w:color="C0392B" w:sz="12" w:space="6"/>
        </w:pBdr>
        <w:spacing w:after="120" w:before="240" w:line="280"/>
      </w:pPr>
      <w:r>
        <w:rPr>
          <w:rFonts w:ascii="Calibri" w:cs="Calibri" w:eastAsia="Calibri" w:hAnsi="Calibri"/>
          <w:b/>
          <w:bCs/>
          <w:color w:val="1F2A44"/>
          <w:sz w:val="32"/>
          <w:szCs w:val="32"/>
        </w:rPr>
        <w:t xml:space="preserve">How we recommend starting: a four-week strategic diagnostic</w:t>
      </w:r>
    </w:p>
    <w:p>
      <w:pPr>
        <w:spacing w:after="60" w:before="60" w:line="280"/>
        <w:jc w:val="left"/>
      </w:pPr>
      <w:r>
        <w:rPr>
          <w:rFonts w:ascii="Calibri" w:cs="Calibri" w:eastAsia="Calibri" w:hAnsi="Calibri"/>
          <w:b w:val="false"/>
          <w:bCs w:val="false"/>
          <w:i w:val="false"/>
          <w:iCs w:val="false"/>
          <w:color w:val="1F2A44"/>
          <w:sz w:val="20"/>
          <w:szCs w:val="20"/>
        </w:rPr>
        <w:t xml:space="preserve">The cleanest way to begin is not a long-term commitment. It’s a focused, four-week diagnostic that delivers value on its own and lets you decide — with evidence in hand — whether and how to keep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Week</w:t>
            </w:r>
          </w:p>
        </w:tc>
        <w:tc>
          <w:tcPr>
            <w:tcW w:type="dxa" w:w="35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Focus</w:t>
            </w:r>
          </w:p>
        </w:tc>
        <w:tc>
          <w:tcPr>
            <w:tcW w:type="dxa" w:w="496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What you walk away with</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Immersion and maturity assessment</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Diagnosis across the 5 dimensions, with interviews of 8–12 leaders</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2</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Mapping opportunities by area</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Heat map of opportunities, 10–15 candidate initiatives</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Prioritization and portfolio construction</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3–5 prioritized initiatives, preliminary business case, timeline</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4</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Roadmap and decision committee</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12–18 month roadmap, financing decisions, first launches</w:t>
            </w:r>
          </w:p>
        </w:tc>
      </w:tr>
    </w:tbl>
    <w:p>
      <w:pPr>
        <w:spacing w:after="60" w:before="60" w:line="280"/>
        <w:jc w:val="left"/>
      </w:pPr>
      <w:r>
        <w:rPr>
          <w:rFonts w:ascii="Calibri" w:cs="Calibri" w:eastAsia="Calibri" w:hAnsi="Calibri"/>
          <w:b w:val="false"/>
          <w:bCs w:val="false"/>
          <w:i w:val="false"/>
          <w:iCs w:val="false"/>
          <w:color w:val="1F2A44"/>
          <w:sz w:val="20"/>
          <w:szCs w:val="20"/>
        </w:rPr>
        <w:t xml:space="preserve">By the end of week four, your committee has the information to make an evidence-based call: launch the first initiatives, postpone until specific gaps close, or stand down entirely. The diagnostic doesn’t sell you the next step — it tells you what it should be.</w:t>
      </w:r>
    </w:p>
    <w:p>
      <w:pPr>
        <w:pStyle w:val="Heading2"/>
        <w:spacing w:after="80" w:before="180" w:line="280"/>
      </w:pPr>
      <w:r>
        <w:rPr>
          <w:rFonts w:ascii="Calibri" w:cs="Calibri" w:eastAsia="Calibri" w:hAnsi="Calibri"/>
          <w:b/>
          <w:bCs/>
          <w:color w:val="1F2A44"/>
          <w:sz w:val="24"/>
          <w:szCs w:val="24"/>
        </w:rPr>
        <w:t xml:space="preserve">Three ways to take the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Option</w:t>
            </w:r>
          </w:p>
        </w:tc>
        <w:tc>
          <w:tcPr>
            <w:tcW w:type="dxa" w:w="50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What it includes</w:t>
            </w:r>
          </w:p>
        </w:tc>
        <w:tc>
          <w:tcPr>
            <w:tcW w:type="dxa" w:w="196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before="0" w:line="260"/>
            </w:pPr>
            <w:r>
              <w:rPr>
                <w:rFonts w:ascii="Calibri" w:cs="Calibri" w:eastAsia="Calibri" w:hAnsi="Calibri"/>
                <w:b/>
                <w:bCs/>
                <w:color w:val="FFFFFF"/>
                <w:sz w:val="18"/>
                <w:szCs w:val="18"/>
              </w:rPr>
              <w:t xml:space="preserve">Best for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Executive session (90 min)</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A working conversation with your committee to validate the internal case and pressure-test specific questions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Teams still framing the problem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Strategic diagnostic (4 weeks)</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The four-week process described above — ends with a roadmap and financing decisions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Teams ready to move in this quarter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Full engagement (12–18 months)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Application of the seven modules to your portfolio, with support through to production and operation</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Calibri" w:cs="Calibri" w:eastAsia="Calibri" w:hAnsi="Calibri"/>
                <w:color w:val="1F2A44"/>
                <w:sz w:val="18"/>
                <w:szCs w:val="18"/>
              </w:rPr>
              <w:t xml:space="preserve">Teams with a green-lit plan and budget</w:t>
            </w:r>
          </w:p>
        </w:tc>
      </w:tr>
    </w:tbl>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A44" w:sz="12"/>
              <w:left w:val="single" w:color="1F2A44" w:sz="12"/>
              <w:bottom w:val="single" w:color="1F2A44" w:sz="12"/>
              <w:right w:val="single" w:color="1F2A44" w:sz="12"/>
            </w:tcBorders>
            <w:shd w:fill="1F2A44" w:val="clear"/>
            <w:tcMar>
              <w:top w:type="dxa" w:w="200"/>
              <w:left w:type="dxa" w:w="240"/>
              <w:bottom w:type="dxa" w:w="200"/>
              <w:right w:type="dxa" w:w="240"/>
            </w:tcMar>
          </w:tcPr>
          <w:p>
            <w:pPr>
              <w:spacing w:after="80" w:before="0" w:line="320"/>
            </w:pPr>
            <w:r>
              <w:rPr>
                <w:rFonts w:ascii="Calibri" w:cs="Calibri" w:eastAsia="Calibri" w:hAnsi="Calibri"/>
                <w:b/>
                <w:bCs/>
                <w:color w:val="FFFFFF"/>
                <w:sz w:val="28"/>
                <w:szCs w:val="28"/>
              </w:rPr>
              <w:t xml:space="preserve">Ready to talk?</w:t>
            </w:r>
          </w:p>
          <w:p>
            <w:pPr>
              <w:spacing w:after="100" w:before="0" w:line="280"/>
            </w:pPr>
            <w:r>
              <w:rPr>
                <w:rFonts w:ascii="Calibri" w:cs="Calibri" w:eastAsia="Calibri" w:hAnsi="Calibri"/>
                <w:color w:val="FFFFFF"/>
                <w:sz w:val="20"/>
                <w:szCs w:val="20"/>
              </w:rPr>
              <w:t xml:space="preserve">Book a 90-minute discovery call with our team. We’ll walk through your current AI conversation, the candidates already on your radar, and where a four-week diagnostic would and wouldn’t be the right next move. No deck, no pitch — a working session.</w:t>
            </w:r>
          </w:p>
          <w:p>
            <w:pPr>
              <w:spacing w:after="0" w:before="0" w:line="280"/>
            </w:pPr>
            <w:r>
              <w:rPr>
                <w:rFonts w:ascii="Calibri" w:cs="Calibri" w:eastAsia="Calibri" w:hAnsi="Calibri"/>
                <w:b/>
                <w:bCs/>
                <w:color w:val="FFFFFF"/>
                <w:sz w:val="22"/>
                <w:szCs w:val="22"/>
              </w:rPr>
              <w:t xml:space="preserve">→ </w:t>
            </w:r>
            <w:r>
              <w:rPr>
                <w:rFonts w:ascii="Calibri" w:cs="Calibri" w:eastAsia="Calibri" w:hAnsi="Calibri"/>
                <w:b/>
                <w:bCs/>
                <w:color w:val="FFFFFF"/>
                <w:sz w:val="22"/>
                <w:szCs w:val="22"/>
                <w:u w:val="single"/>
              </w:rPr>
              <w:t xml:space="preserve">Schedule yours at noondalton.com/discovery</w:t>
            </w:r>
          </w:p>
        </w:tc>
      </w:tr>
    </w:tbl>
    <w:sectPr>
      <w:headerReference w:type="default" r:id="rId7"/>
      <w:footerReference w:type="default" r:id="rId8"/>
      <w:pgSz w:w="12240" w:h="15840" w:orient="portrait"/>
      <w:pgMar w:top="108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pPr>
    <w:r>
      <w:rPr>
        <w:rFonts w:ascii="Calibri" w:cs="Calibri" w:eastAsia="Calibri" w:hAnsi="Calibri"/>
        <w:color w:val="595959"/>
        <w:sz w:val="14"/>
        <w:szCs w:val="14"/>
      </w:rPr>
      <w:t xml:space="preserve">© 2026 Noon Dalton  ·  Confidential</w:t>
    </w:r>
    <w:r>
      <w:rPr>
        <w:rFonts w:ascii="Calibri" w:cs="Calibri" w:eastAsia="Calibri" w:hAnsi="Calibri"/>
        <w:color w:val="595959"/>
        <w:sz w:val="14"/>
        <w:szCs w:val="14"/>
      </w:rPr>
      <w:t xml:space="preserve">	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tabs>
        <w:tab w:val="right" w:pos="9026"/>
      </w:tabs>
      <w:spacing w:after="0" w:before="0"/>
    </w:pPr>
    <w:r>
      <w:rPr>
        <w:rFonts w:ascii="Calibri" w:cs="Calibri" w:eastAsia="Calibri" w:hAnsi="Calibri"/>
        <w:b/>
        <w:bCs/>
        <w:color w:val="1F2A44"/>
        <w:sz w:val="16"/>
        <w:szCs w:val="16"/>
      </w:rPr>
      <w:t xml:space="preserve">NOON DALTON</w:t>
    </w:r>
    <w:r>
      <w:rPr>
        <w:rFonts w:ascii="Calibri" w:cs="Calibri" w:eastAsia="Calibri" w:hAnsi="Calibri"/>
        <w:color w:val="595959"/>
        <w:sz w:val="16"/>
        <w:szCs w:val="16"/>
      </w:rPr>
      <w:t xml:space="preserve">  ·  AI Implementation Methodology</w:t>
    </w:r>
    <w:r>
      <w:rPr>
        <w:rFonts w:ascii="Calibri" w:cs="Calibri" w:eastAsia="Calibri" w:hAnsi="Calibri"/>
        <w:color w:val="595959"/>
        <w:sz w:val="16"/>
        <w:szCs w:val="16"/>
      </w:rPr>
      <w:t xml:space="preserve">	Whitepaper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Most AI Investments Quietly Disappear</dc:title>
  <dc:creator>Noon Dalton</dc:creator>
  <dc:description>Commercial whitepaper - AI Implementation Methodology</dc:description>
  <cp:lastModifiedBy>Un-named</cp:lastModifiedBy>
  <cp:revision>1</cp:revision>
  <dcterms:created xsi:type="dcterms:W3CDTF">2026-05-01T15:21:09.659Z</dcterms:created>
  <dcterms:modified xsi:type="dcterms:W3CDTF">2026-05-01T15:21:09.660Z</dcterms:modified>
</cp:coreProperties>
</file>

<file path=docProps/custom.xml><?xml version="1.0" encoding="utf-8"?>
<Properties xmlns="http://schemas.openxmlformats.org/officeDocument/2006/custom-properties" xmlns:vt="http://schemas.openxmlformats.org/officeDocument/2006/docPropsVTypes"/>
</file>