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B5C8A"/>
          <w:sz w:val="22"/>
          <w:szCs w:val="22"/>
        </w:rPr>
        <w:t xml:space="preserve">EK F</w:t>
      </w:r>
    </w:p>
    <w:p>
      <w:pPr>
        <w:pStyle w:val="Title"/>
        <w:spacing w:after="80"/>
      </w:pPr>
      <w:r>
        <w:rPr>
          <w:rFonts w:ascii="Calibri" w:cs="Calibri" w:eastAsia="Calibri" w:hAnsi="Calibri"/>
          <w:b/>
          <w:bCs/>
          <w:sz w:val="44"/>
          <w:szCs w:val="44"/>
        </w:rPr>
        <w:t xml:space="preserve">Kaynakça ve İlgili Standartlar</w:t>
      </w:r>
    </w:p>
    <w:p>
      <w:pPr>
        <w:spacing w:after="240" w:line="276"/>
      </w:pPr>
      <w:r>
        <w:rPr>
          <w:rFonts w:ascii="Calibri" w:cs="Calibri" w:eastAsia="Calibri" w:hAnsi="Calibri"/>
          <w:color w:val="59636F"/>
          <w:sz w:val="26"/>
          <w:szCs w:val="26"/>
        </w:rPr>
        <w:t xml:space="preserve">ISO 30400 ve diğer standartlar</w:t>
      </w:r>
    </w:p>
    <w:p>
      <w:pPr>
        <w:pStyle w:val="Heading1"/>
        <w:keepNext/>
        <w:spacing w:after="160" w:before="360"/>
      </w:pPr>
      <w:r>
        <w:rPr>
          <w:rFonts w:ascii="Calibri" w:cs="Calibri" w:eastAsia="Calibri" w:hAnsi="Calibri"/>
          <w:b/>
          <w:bCs/>
          <w:color w:val="0B5C8A"/>
          <w:sz w:val="32"/>
          <w:szCs w:val="32"/>
        </w:rPr>
        <w:t xml:space="preserve">F.1 Bu ek hakkında</w:t>
      </w:r>
    </w:p>
    <w:p>
      <w:pPr>
        <w:spacing w:after="120" w:line="276"/>
      </w:pPr>
      <w:r>
        <w:rPr>
          <w:rFonts w:ascii="Calibri" w:cs="Calibri" w:eastAsia="Calibri" w:hAnsi="Calibri"/>
          <w:sz w:val="22"/>
          <w:szCs w:val="22"/>
        </w:rPr>
        <w:t xml:space="preserve">Bu ek, el kitabının dayandığı standartları, bu standartların atıf yaptığı diğer ISO belgelerini, raporlama çerçevelerini ve akademik kaynakları bir arada listeler. Listeler, el kitabına konu olan 25 rehber sayfasının künye ve “İlgili Standartlar” bölümlerinden derlenmiştir; yeni bir literatür taraması değildir.</w:t>
      </w:r>
    </w:p>
    <w:p>
      <w:pPr>
        <w:spacing w:after="120" w:line="276"/>
      </w:pPr>
      <w:r>
        <w:rPr>
          <w:rFonts w:ascii="Calibri" w:cs="Calibri" w:eastAsia="Calibri" w:hAnsi="Calibri"/>
          <w:b/>
          <w:bCs/>
          <w:sz w:val="22"/>
          <w:szCs w:val="22"/>
        </w:rPr>
        <w:t xml:space="preserve">Belge türleri. </w:t>
      </w:r>
      <w:r>
        <w:rPr>
          <w:rFonts w:ascii="Calibri" w:cs="Calibri" w:eastAsia="Calibri" w:hAnsi="Calibri"/>
          <w:sz w:val="22"/>
          <w:szCs w:val="22"/>
        </w:rPr>
        <w:t xml:space="preserve">ISO standartlarında (IS) gereklilik ya da rehber verilir; ISO/TS (Technical Specification) teknik şartname, henüz standart olgunluğuna ulaşmamış ya da özel bir konuyu ele alan belgedir; ISO/TR (Technical Report) ise bilgilendirici teknik rapordur. Bu belgelerin tamamı ISO/TC 260 (İnsan kaynakları yönetimi) tarafından hazırlanmıştır; ISO/TS 24179 (iş sağlığı ve güvenliği metrikleri) de aynı çalışma alanında yer alır.</w:t>
      </w:r>
    </w:p>
    <w:p>
      <w:pPr>
        <w:spacing w:after="120" w:line="276"/>
      </w:pPr>
      <w:r>
        <w:rPr>
          <w:rFonts w:ascii="Calibri" w:cs="Calibri" w:eastAsia="Calibri" w:hAnsi="Calibri"/>
          <w:b/>
          <w:bCs/>
          <w:sz w:val="22"/>
          <w:szCs w:val="22"/>
        </w:rPr>
        <w:t xml:space="preserve">Kaynak sürümler. </w:t>
      </w:r>
      <w:r>
        <w:rPr>
          <w:rFonts w:ascii="Calibri" w:cs="Calibri" w:eastAsia="Calibri" w:hAnsi="Calibri"/>
          <w:sz w:val="22"/>
          <w:szCs w:val="22"/>
        </w:rPr>
        <w:t xml:space="preserve">Rehber sayfaları, standartların çoğunda BSI (İngiltere) uyarlamalarını kaynak göstermektedir (BS ISO …, PD ISO/TS …). Aşağıdaki tabloda son sütun bunu gösterir (‘ISO yayını’ = rehber sayfası doğrudan ISO baskısını anar). İçerik değerlendirmesinde ya da denetimde kullanacağınız metnin güncel ISO yayını olduğundan emin olun.</w:t>
      </w:r>
    </w:p>
    <w:p>
      <w:pPr>
        <w:pStyle w:val="Heading1"/>
        <w:keepNext/>
        <w:spacing w:after="160" w:before="360"/>
      </w:pPr>
      <w:r>
        <w:rPr>
          <w:rFonts w:ascii="Calibri" w:cs="Calibri" w:eastAsia="Calibri" w:hAnsi="Calibri"/>
          <w:b/>
          <w:bCs/>
          <w:color w:val="0B5C8A"/>
          <w:sz w:val="32"/>
          <w:szCs w:val="32"/>
        </w:rPr>
        <w:t xml:space="preserve">F.2 El kitabında ele alınan standartlar (25)</w:t>
      </w:r>
    </w:p>
    <w:p>
      <w:pPr>
        <w:spacing w:after="100" w:line="276"/>
      </w:pPr>
      <w:r>
        <w:rPr>
          <w:rFonts w:ascii="Calibri" w:cs="Calibri" w:eastAsia="Calibri" w:hAnsi="Calibri"/>
          <w:color w:val="59636F"/>
          <w:sz w:val="20"/>
          <w:szCs w:val="20"/>
        </w:rPr>
        <w:t xml:space="preserve">Standartlar el kitabındaki sıraya göre verilmiştir. Başlıkların Türkçesi öğretim amaçlı çevirilerdir; resmî Türkçe başlık yayımlanmışsa o esas alınmalıdır.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000"/>
        <w:gridCol w:w="3000"/>
        <w:gridCol w:w="1438"/>
      </w:tblGrid>
      <w:tr>
        <w:trPr>
          <w:cantSplit/>
          <w:tblHeader/>
        </w:trPr>
        <w:tc>
          <w:tcPr>
            <w:tcW w:type="dxa" w:w="7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Bölüm</w:t>
            </w:r>
          </w:p>
        </w:tc>
        <w:tc>
          <w:tcPr>
            <w:tcW w:type="dxa" w:w="15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Standart</w:t>
            </w:r>
          </w:p>
        </w:tc>
        <w:tc>
          <w:tcPr>
            <w:tcW w:type="dxa" w:w="3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İngilizce başlık</w:t>
            </w:r>
          </w:p>
        </w:tc>
        <w:tc>
          <w:tcPr>
            <w:tcW w:type="dxa" w:w="3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Türkçe başlık (çeviri)</w:t>
            </w:r>
          </w:p>
        </w:tc>
        <w:tc>
          <w:tcPr>
            <w:tcW w:type="dxa" w:w="14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Rehberin kaynak gösterdiği baskı</w:t>
            </w:r>
          </w:p>
        </w:tc>
      </w:tr>
      <w:tr>
        <w:trPr>
          <w:cantSplit/>
        </w:trPr>
        <w:tc>
          <w:tcPr>
            <w:tcW w:type="dxa" w:w="7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30414:2025</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Requirements and recommendations for human capital reporting and disclosure</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İnsan sermayesi raporlama ve açıklama için gereklilikler ve öneriler</w:t>
            </w:r>
          </w:p>
        </w:tc>
        <w:tc>
          <w:tcPr>
            <w:tcW w:type="dxa" w:w="1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BS ISO 30414:2025</w:t>
            </w:r>
          </w:p>
        </w:tc>
      </w:tr>
      <w:tr>
        <w:trPr>
          <w:cantSplit/>
        </w:trPr>
        <w:tc>
          <w:tcPr>
            <w:tcW w:type="dxa" w:w="7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1.2</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30408:2016</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Guidelines on human governance</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İnsan yönetişimi rehberi</w:t>
            </w:r>
          </w:p>
        </w:tc>
        <w:tc>
          <w:tcPr>
            <w:tcW w:type="dxa" w:w="1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BS ISO 30408:2016</w:t>
            </w:r>
          </w:p>
        </w:tc>
      </w:tr>
      <w:tr>
        <w:trPr>
          <w:cantSplit/>
        </w:trPr>
        <w:tc>
          <w:tcPr>
            <w:tcW w:type="dxa" w:w="7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1.3</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30435:2023</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Workforce data quality</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İşgücü veri kalitesi</w:t>
            </w:r>
          </w:p>
        </w:tc>
        <w:tc>
          <w:tcPr>
            <w:tcW w:type="dxa" w:w="1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BS ISO 30435:2023</w:t>
            </w:r>
          </w:p>
        </w:tc>
      </w:tr>
      <w:tr>
        <w:trPr>
          <w:cantSplit/>
        </w:trPr>
        <w:tc>
          <w:tcPr>
            <w:tcW w:type="dxa" w:w="7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1.4</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ISO/TS 30423:2021</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Compliance and ethics metrics cluster</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Uyum ve etik metrikleri kümesi</w:t>
            </w:r>
          </w:p>
        </w:tc>
        <w:tc>
          <w:tcPr>
            <w:tcW w:type="dxa" w:w="1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 yayını</w:t>
            </w:r>
          </w:p>
        </w:tc>
      </w:tr>
      <w:tr>
        <w:trPr>
          <w:cantSplit/>
        </w:trPr>
        <w:tc>
          <w:tcPr>
            <w:tcW w:type="dxa" w:w="7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2.1</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30409:2016</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Workforce planning</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İşgücü planlaması</w:t>
            </w:r>
          </w:p>
        </w:tc>
        <w:tc>
          <w:tcPr>
            <w:tcW w:type="dxa" w:w="1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BS ISO 30409:2016</w:t>
            </w:r>
          </w:p>
        </w:tc>
      </w:tr>
      <w:tr>
        <w:trPr>
          <w:cantSplit/>
        </w:trPr>
        <w:tc>
          <w:tcPr>
            <w:tcW w:type="dxa" w:w="7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2.2</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30434:2023</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Workforce allocation</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İşgücü tahsisi</w:t>
            </w:r>
          </w:p>
        </w:tc>
        <w:tc>
          <w:tcPr>
            <w:tcW w:type="dxa" w:w="1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BS ISO 30434:2023</w:t>
            </w:r>
          </w:p>
        </w:tc>
      </w:tr>
      <w:tr>
        <w:trPr>
          <w:cantSplit/>
        </w:trPr>
        <w:tc>
          <w:tcPr>
            <w:tcW w:type="dxa" w:w="7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2.3</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ISO/TS 30425:2021</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Workforce availability metrics cluster</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İşgücü bulunabilirliği metrikleri kümesi</w:t>
            </w:r>
          </w:p>
        </w:tc>
        <w:tc>
          <w:tcPr>
            <w:tcW w:type="dxa" w:w="1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PD ISO/TS 30425:2021</w:t>
            </w:r>
          </w:p>
        </w:tc>
      </w:tr>
      <w:tr>
        <w:trPr>
          <w:cantSplit/>
        </w:trPr>
        <w:tc>
          <w:tcPr>
            <w:tcW w:type="dxa" w:w="7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2.4</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ISO/TS 30433:2021</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Succession planning metrics cluster</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Yedekleme planlaması metrikleri kümesi</w:t>
            </w:r>
          </w:p>
        </w:tc>
        <w:tc>
          <w:tcPr>
            <w:tcW w:type="dxa" w:w="1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 yayını</w:t>
            </w:r>
          </w:p>
        </w:tc>
      </w:tr>
      <w:tr>
        <w:trPr>
          <w:cantSplit/>
        </w:trPr>
        <w:tc>
          <w:tcPr>
            <w:tcW w:type="dxa" w:w="7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3.1</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30405:2023</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Guidelines on recruitment</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İşe alım rehberi</w:t>
            </w:r>
          </w:p>
        </w:tc>
        <w:tc>
          <w:tcPr>
            <w:tcW w:type="dxa" w:w="1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 yayını</w:t>
            </w:r>
          </w:p>
        </w:tc>
      </w:tr>
      <w:tr>
        <w:trPr>
          <w:cantSplit/>
        </w:trPr>
        <w:tc>
          <w:tcPr>
            <w:tcW w:type="dxa" w:w="7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3.2</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ISO/TS 30430:2021</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Recruitment metrics cluster</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İşe alım metrikleri kümesi</w:t>
            </w:r>
          </w:p>
        </w:tc>
        <w:tc>
          <w:tcPr>
            <w:tcW w:type="dxa" w:w="1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 yayını</w:t>
            </w:r>
          </w:p>
        </w:tc>
      </w:tr>
      <w:tr>
        <w:trPr>
          <w:cantSplit/>
        </w:trPr>
        <w:tc>
          <w:tcPr>
            <w:tcW w:type="dxa" w:w="7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3.3</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ISO/TS 30407:2017</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Cost-per-hire</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İşe alım başına maliyet</w:t>
            </w:r>
          </w:p>
        </w:tc>
        <w:tc>
          <w:tcPr>
            <w:tcW w:type="dxa" w:w="1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PD ISO/TS 30407:2017</w:t>
            </w:r>
          </w:p>
        </w:tc>
      </w:tr>
      <w:tr>
        <w:trPr>
          <w:cantSplit/>
        </w:trPr>
        <w:tc>
          <w:tcPr>
            <w:tcW w:type="dxa" w:w="7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3.4</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ISO/TS 30411:2018</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Quality of hire metric</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İşe alım kalitesi metriği</w:t>
            </w:r>
          </w:p>
        </w:tc>
        <w:tc>
          <w:tcPr>
            <w:tcW w:type="dxa" w:w="1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PD ISO/TS 30411:2018</w:t>
            </w:r>
          </w:p>
        </w:tc>
      </w:tr>
      <w:tr>
        <w:trPr>
          <w:cantSplit/>
        </w:trPr>
        <w:tc>
          <w:tcPr>
            <w:tcW w:type="dxa" w:w="7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3.5</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ISO/TS 30410:2018</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Impact of hire metric</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İşe alımın etkisi metriği</w:t>
            </w:r>
          </w:p>
        </w:tc>
        <w:tc>
          <w:tcPr>
            <w:tcW w:type="dxa" w:w="1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PD ISO/TS 30410:2018</w:t>
            </w:r>
          </w:p>
        </w:tc>
      </w:tr>
      <w:tr>
        <w:trPr>
          <w:cantSplit/>
        </w:trPr>
        <w:tc>
          <w:tcPr>
            <w:tcW w:type="dxa" w:w="7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4.1</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30422:2022</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Learning and development</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Öğrenme ve gelişim</w:t>
            </w:r>
          </w:p>
        </w:tc>
        <w:tc>
          <w:tcPr>
            <w:tcW w:type="dxa" w:w="1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BS ISO 30422:2022</w:t>
            </w:r>
          </w:p>
        </w:tc>
      </w:tr>
      <w:tr>
        <w:trPr>
          <w:cantSplit/>
        </w:trPr>
        <w:tc>
          <w:tcPr>
            <w:tcW w:type="dxa" w:w="7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4.2</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ISO/TS 30437:2023</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Learning and development metrics</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Öğrenme ve gelişim metrikleri</w:t>
            </w:r>
          </w:p>
        </w:tc>
        <w:tc>
          <w:tcPr>
            <w:tcW w:type="dxa" w:w="1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 yayını</w:t>
            </w:r>
          </w:p>
        </w:tc>
      </w:tr>
      <w:tr>
        <w:trPr>
          <w:cantSplit/>
        </w:trPr>
        <w:tc>
          <w:tcPr>
            <w:tcW w:type="dxa" w:w="7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4.3</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ISO/TS 30428:2021</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Skills and capabilities metrics cluster</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Beceri ve yetkinlik metrikleri kümesi</w:t>
            </w:r>
          </w:p>
        </w:tc>
        <w:tc>
          <w:tcPr>
            <w:tcW w:type="dxa" w:w="1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 yayını</w:t>
            </w:r>
          </w:p>
        </w:tc>
      </w:tr>
      <w:tr>
        <w:trPr>
          <w:cantSplit/>
        </w:trPr>
        <w:tc>
          <w:tcPr>
            <w:tcW w:type="dxa" w:w="7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4.4</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ISO/TS 30431:2021</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Leadership metrics cluster</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Liderlik metrikleri kümesi</w:t>
            </w:r>
          </w:p>
        </w:tc>
        <w:tc>
          <w:tcPr>
            <w:tcW w:type="dxa" w:w="1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PD ISO/TS 30431:2021</w:t>
            </w:r>
          </w:p>
        </w:tc>
      </w:tr>
      <w:tr>
        <w:trPr>
          <w:cantSplit/>
        </w:trPr>
        <w:tc>
          <w:tcPr>
            <w:tcW w:type="dxa" w:w="7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4.5</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ISO/TR 30406:2017</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Sustainable employability management for organizations</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Kurumlar için sürdürülebilir istihdam edilebilirlik yönetimi</w:t>
            </w:r>
          </w:p>
        </w:tc>
        <w:tc>
          <w:tcPr>
            <w:tcW w:type="dxa" w:w="1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PD ISO/TR 30406:2017</w:t>
            </w:r>
          </w:p>
        </w:tc>
      </w:tr>
      <w:tr>
        <w:trPr>
          <w:cantSplit/>
        </w:trPr>
        <w:tc>
          <w:tcPr>
            <w:tcW w:type="dxa" w:w="7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5.1</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23326:2022</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Employee engagement — Guidelines</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Çalışan bağlılığı — Rehber</w:t>
            </w:r>
          </w:p>
        </w:tc>
        <w:tc>
          <w:tcPr>
            <w:tcW w:type="dxa" w:w="1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BS ISO 23326:2022</w:t>
            </w:r>
          </w:p>
        </w:tc>
      </w:tr>
      <w:tr>
        <w:trPr>
          <w:cantSplit/>
        </w:trPr>
        <w:tc>
          <w:tcPr>
            <w:tcW w:type="dxa" w:w="7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5.2</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ISO/TS 24178:2021</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Organizational culture metrics cluster</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Örgüt kültürü metrikleri kümesi</w:t>
            </w:r>
          </w:p>
        </w:tc>
        <w:tc>
          <w:tcPr>
            <w:tcW w:type="dxa" w:w="1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PD ISO/TS 24178:2021</w:t>
            </w:r>
          </w:p>
        </w:tc>
      </w:tr>
      <w:tr>
        <w:trPr>
          <w:cantSplit/>
        </w:trPr>
        <w:tc>
          <w:tcPr>
            <w:tcW w:type="dxa" w:w="7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5.3</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30415:2021</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Diversity and inclusion</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Çeşitlilik ve kapsayıcılık</w:t>
            </w:r>
          </w:p>
        </w:tc>
        <w:tc>
          <w:tcPr>
            <w:tcW w:type="dxa" w:w="1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BS ISO 30415:2021</w:t>
            </w:r>
          </w:p>
        </w:tc>
      </w:tr>
      <w:tr>
        <w:trPr>
          <w:cantSplit/>
        </w:trPr>
        <w:tc>
          <w:tcPr>
            <w:tcW w:type="dxa" w:w="7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5.4</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ISO/TS 24179:2020</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Occupational health and safety metrics</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İş sağlığı ve güvenliği metrikleri</w:t>
            </w:r>
          </w:p>
        </w:tc>
        <w:tc>
          <w:tcPr>
            <w:tcW w:type="dxa" w:w="1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 yayını</w:t>
            </w:r>
          </w:p>
        </w:tc>
      </w:tr>
      <w:tr>
        <w:trPr>
          <w:cantSplit/>
        </w:trPr>
        <w:tc>
          <w:tcPr>
            <w:tcW w:type="dxa" w:w="7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5.5</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ISO/TS 30421:2021</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Turnover and retention metrics</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Devir ve elde tutma metrikleri</w:t>
            </w:r>
          </w:p>
        </w:tc>
        <w:tc>
          <w:tcPr>
            <w:tcW w:type="dxa" w:w="1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 yayını</w:t>
            </w:r>
          </w:p>
        </w:tc>
      </w:tr>
      <w:tr>
        <w:trPr>
          <w:cantSplit/>
        </w:trPr>
        <w:tc>
          <w:tcPr>
            <w:tcW w:type="dxa" w:w="7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6.1</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ISO/TS 30432:2021</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Workforce productivity metrics cluster</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İşgücü üretkenliği metrikleri kümesi</w:t>
            </w:r>
          </w:p>
        </w:tc>
        <w:tc>
          <w:tcPr>
            <w:tcW w:type="dxa" w:w="1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 yayını</w:t>
            </w:r>
          </w:p>
        </w:tc>
      </w:tr>
      <w:tr>
        <w:trPr>
          <w:cantSplit/>
        </w:trPr>
        <w:tc>
          <w:tcPr>
            <w:tcW w:type="dxa" w:w="7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6.2</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ISO/TS 30427:2021</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Costs metrics cluster</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Maliyet metrikleri kümesi</w:t>
            </w:r>
          </w:p>
        </w:tc>
        <w:tc>
          <w:tcPr>
            <w:tcW w:type="dxa" w:w="1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PD ISO/TS 30427:2021</w:t>
            </w:r>
          </w:p>
        </w:tc>
      </w:tr>
    </w:tbl>
    <w:p>
      <w:pPr>
        <w:pStyle w:val="Heading1"/>
        <w:keepNext/>
        <w:spacing w:after="160" w:before="360"/>
      </w:pPr>
      <w:r>
        <w:rPr>
          <w:rFonts w:ascii="Calibri" w:cs="Calibri" w:eastAsia="Calibri" w:hAnsi="Calibri"/>
          <w:b/>
          <w:bCs/>
          <w:color w:val="0B5C8A"/>
          <w:sz w:val="32"/>
          <w:szCs w:val="32"/>
        </w:rPr>
        <w:t xml:space="preserve">F.3 ISO 30400 ve atıf yapılan diğer ISO/IEC belgeleri</w:t>
      </w:r>
    </w:p>
    <w:p>
      <w:pPr>
        <w:spacing w:after="120" w:line="276"/>
      </w:pPr>
      <w:r>
        <w:rPr>
          <w:rFonts w:ascii="Calibri" w:cs="Calibri" w:eastAsia="Calibri" w:hAnsi="Calibri"/>
          <w:b/>
          <w:bCs/>
          <w:sz w:val="22"/>
          <w:szCs w:val="22"/>
        </w:rPr>
        <w:t xml:space="preserve">ISO 30400 (İnsan kaynakları yönetimi — Terimler sözlüğü) </w:t>
      </w:r>
      <w:r>
        <w:rPr>
          <w:rFonts w:ascii="Calibri" w:cs="Calibri" w:eastAsia="Calibri" w:hAnsi="Calibri"/>
          <w:sz w:val="22"/>
          <w:szCs w:val="22"/>
        </w:rPr>
        <w:t xml:space="preserve">serinin ortak sözlüğüdür; rehber sayfalarının neredeyse tamamı tanımları için ona atıf yapar (6.2 hariç tüm bölümler). Terimler için Ek D’ye de bakınız. ISO 30400’ün güncel sürüm yılını ISO’nun resmî katalogundan doğrulayın.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3338"/>
        <w:gridCol w:w="1500"/>
      </w:tblGrid>
      <w:tr>
        <w:trPr>
          <w:cantSplit/>
          <w:tblHeader/>
        </w:trPr>
        <w:tc>
          <w:tcPr>
            <w:tcW w:type="dxa" w:w="15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Standart</w:t>
            </w:r>
          </w:p>
        </w:tc>
        <w:tc>
          <w:tcPr>
            <w:tcW w:type="dxa" w:w="33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İngilizce başlık</w:t>
            </w:r>
          </w:p>
        </w:tc>
        <w:tc>
          <w:tcPr>
            <w:tcW w:type="dxa" w:w="33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Konu / ilişki</w:t>
            </w:r>
          </w:p>
        </w:tc>
        <w:tc>
          <w:tcPr>
            <w:tcW w:type="dxa" w:w="15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El kitabı bölümleri</w:t>
            </w:r>
          </w:p>
        </w:tc>
      </w:tr>
      <w:tr>
        <w:trPr>
          <w:cantSplit/>
        </w:trPr>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30400</w:t>
            </w:r>
          </w:p>
        </w:tc>
        <w:tc>
          <w:tcPr>
            <w:tcW w:type="dxa" w:w="3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Vocabulary</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İK terimler sözlüğü; serideki tüm belgelerin ortak terminolojisi</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Tüm bölümler (6.2 hariç)</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10667 (Bölüm 1–2)</w:t>
            </w:r>
          </w:p>
        </w:tc>
        <w:tc>
          <w:tcPr>
            <w:tcW w:type="dxa" w:w="3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Assessment service delivery — Procedures and methods to assess people in work and organizational settings</w:t>
            </w:r>
          </w:p>
        </w:tc>
        <w:tc>
          <w:tcPr>
            <w:tcW w:type="dxa" w:w="33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İş ve örgüt ortamında insanları değerlendirme hizmetleri (anket, test, değerlendirme araçları)</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3.1, 4.1, 4.2, 5.1, 5.3</w:t>
            </w:r>
          </w:p>
        </w:tc>
      </w:tr>
      <w:tr>
        <w:trPr>
          <w:cantSplit/>
        </w:trPr>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45001</w:t>
            </w:r>
          </w:p>
        </w:tc>
        <w:tc>
          <w:tcPr>
            <w:tcW w:type="dxa" w:w="3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Occupational health and safety management systems — Requirements with guidance for use</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İSG yönetim sistemi; ISO/TS 24179 ölçer, ISO 45001 sistemi kurar</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1.1, 1.3, 2.2, 4.1, 5.4</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45003</w:t>
            </w:r>
          </w:p>
        </w:tc>
        <w:tc>
          <w:tcPr>
            <w:tcW w:type="dxa" w:w="3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Occupational health and safety management — Psychological health and safety at work</w:t>
            </w:r>
          </w:p>
        </w:tc>
        <w:tc>
          <w:tcPr>
            <w:tcW w:type="dxa" w:w="33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Psikososyal risklerin yönetimi; bağlılık rehberiyle ilişkili</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5.1</w:t>
            </w:r>
          </w:p>
        </w:tc>
      </w:tr>
      <w:tr>
        <w:trPr>
          <w:cantSplit/>
        </w:trPr>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26000:2010</w:t>
            </w:r>
          </w:p>
        </w:tc>
        <w:tc>
          <w:tcPr>
            <w:tcW w:type="dxa" w:w="3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Guidance on social responsibility</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Sosyal sorumluluk; sosyal diyalog, hesap verebilirlik ve insana yakışır iş tanımlarının kaynağı</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5.1, 5.3</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31000</w:t>
            </w:r>
          </w:p>
        </w:tc>
        <w:tc>
          <w:tcPr>
            <w:tcW w:type="dxa" w:w="3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Risk management — Guidelines</w:t>
            </w:r>
          </w:p>
        </w:tc>
        <w:tc>
          <w:tcPr>
            <w:tcW w:type="dxa" w:w="33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Risk yönetimi ilkeleri ve çerçevesi</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1.1, 2.1</w:t>
            </w:r>
          </w:p>
        </w:tc>
      </w:tr>
      <w:tr>
        <w:trPr>
          <w:cantSplit/>
        </w:trPr>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ISO/TR 31004</w:t>
            </w:r>
          </w:p>
        </w:tc>
        <w:tc>
          <w:tcPr>
            <w:tcW w:type="dxa" w:w="3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Risk management — Guidance for the implementation of ISO 31000</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 31000’in uygulanması için rehber</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2.1</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Guide 73</w:t>
            </w:r>
          </w:p>
        </w:tc>
        <w:tc>
          <w:tcPr>
            <w:tcW w:type="dxa" w:w="3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Risk management — Vocabulary</w:t>
            </w:r>
          </w:p>
        </w:tc>
        <w:tc>
          <w:tcPr>
            <w:tcW w:type="dxa" w:w="33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Risk yönetimi sözlüğü</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2.1</w:t>
            </w:r>
          </w:p>
        </w:tc>
      </w:tr>
      <w:tr>
        <w:trPr>
          <w:cantSplit/>
        </w:trPr>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IEC 31010</w:t>
            </w:r>
          </w:p>
        </w:tc>
        <w:tc>
          <w:tcPr>
            <w:tcW w:type="dxa" w:w="3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Risk management — Risk assessment techniques</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Risk değerlendirme teknikleri</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2.1</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9001</w:t>
            </w:r>
          </w:p>
        </w:tc>
        <w:tc>
          <w:tcPr>
            <w:tcW w:type="dxa" w:w="3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Quality management systems — Requirements</w:t>
            </w:r>
          </w:p>
        </w:tc>
        <w:tc>
          <w:tcPr>
            <w:tcW w:type="dxa" w:w="33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Kalite yönetim sistemi; sürekli iyileştirme döngüsü (ISO/TR 30406 yöntemi)</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4.5</w:t>
            </w:r>
          </w:p>
        </w:tc>
      </w:tr>
      <w:tr>
        <w:trPr>
          <w:cantSplit/>
        </w:trPr>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ISO/IEC 27001</w:t>
            </w:r>
          </w:p>
        </w:tc>
        <w:tc>
          <w:tcPr>
            <w:tcW w:type="dxa" w:w="3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Information security management systems — Requirements</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Bilgi güvenliği yönetimi; İK verisinin korunması</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1.1, 3.1</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ISO/IEC 27701</w:t>
            </w:r>
          </w:p>
        </w:tc>
        <w:tc>
          <w:tcPr>
            <w:tcW w:type="dxa" w:w="3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Privacy information management systems</w:t>
            </w:r>
          </w:p>
        </w:tc>
        <w:tc>
          <w:tcPr>
            <w:tcW w:type="dxa" w:w="33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Mahremiyet bilgi yönetimi; yapay zekâ araçlarıyla etkileşen kişilerin mahremiyeti</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3.1</w:t>
            </w:r>
          </w:p>
        </w:tc>
      </w:tr>
      <w:tr>
        <w:trPr>
          <w:cantSplit/>
        </w:trPr>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ISO/IEC 42001</w:t>
            </w:r>
          </w:p>
        </w:tc>
        <w:tc>
          <w:tcPr>
            <w:tcW w:type="dxa" w:w="3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Artificial intelligence management system</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Yapay zekâ yönetim sistemi; İK’da yapay zekâ kullanımı</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10015</w:t>
            </w:r>
          </w:p>
        </w:tc>
        <w:tc>
          <w:tcPr>
            <w:tcW w:type="dxa" w:w="3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Quality management — Guidelines for competence management and people development</w:t>
            </w:r>
          </w:p>
        </w:tc>
        <w:tc>
          <w:tcPr>
            <w:tcW w:type="dxa" w:w="33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Yetkinlik yönetimi ve insan gelişimi</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4.1</w:t>
            </w:r>
          </w:p>
        </w:tc>
      </w:tr>
      <w:tr>
        <w:trPr>
          <w:cantSplit/>
        </w:trPr>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10018</w:t>
            </w:r>
          </w:p>
        </w:tc>
        <w:tc>
          <w:tcPr>
            <w:tcW w:type="dxa" w:w="3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Quality management — Guidance for people engagement</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Bağlılığın tanımı (insanların faaliyetlere tam katılımı)</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5.2</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30401</w:t>
            </w:r>
          </w:p>
        </w:tc>
        <w:tc>
          <w:tcPr>
            <w:tcW w:type="dxa" w:w="3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Knowledge management systems — Requirements</w:t>
            </w:r>
          </w:p>
        </w:tc>
        <w:tc>
          <w:tcPr>
            <w:tcW w:type="dxa" w:w="33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Bilgi yönetim sistemleri; bilgi paylaşımı</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4.1</w:t>
            </w:r>
          </w:p>
        </w:tc>
      </w:tr>
      <w:tr>
        <w:trPr>
          <w:cantSplit/>
        </w:trPr>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29993</w:t>
            </w:r>
          </w:p>
        </w:tc>
        <w:tc>
          <w:tcPr>
            <w:tcW w:type="dxa" w:w="3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Learning services outside formal education — Service requirements</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Örgün eğitim dışı öğrenme hizmetleri</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4.1</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21001</w:t>
            </w:r>
          </w:p>
        </w:tc>
        <w:tc>
          <w:tcPr>
            <w:tcW w:type="dxa" w:w="3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Educational organizations — Management systems for educational organizations</w:t>
            </w:r>
          </w:p>
        </w:tc>
        <w:tc>
          <w:tcPr>
            <w:tcW w:type="dxa" w:w="33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Eğitim kuruluşları için yönetim sistemi</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4.1</w:t>
            </w:r>
          </w:p>
        </w:tc>
      </w:tr>
      <w:tr>
        <w:trPr>
          <w:cantSplit/>
        </w:trPr>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6385</w:t>
            </w:r>
          </w:p>
        </w:tc>
        <w:tc>
          <w:tcPr>
            <w:tcW w:type="dxa" w:w="3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Ergonomics principles in the design of work systems</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İş sistemlerinin tasarımında ergonomi (ISO 30434 kapsamı dışı)</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2.2</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8000 (Bölüm 1–2)</w:t>
            </w:r>
          </w:p>
        </w:tc>
        <w:tc>
          <w:tcPr>
            <w:tcW w:type="dxa" w:w="3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Data quality</w:t>
            </w:r>
          </w:p>
        </w:tc>
        <w:tc>
          <w:tcPr>
            <w:tcW w:type="dxa" w:w="33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Genel veri kalitesi</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1.3</w:t>
            </w:r>
          </w:p>
        </w:tc>
      </w:tr>
      <w:tr>
        <w:trPr>
          <w:cantSplit/>
        </w:trPr>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10303-31</w:t>
            </w:r>
          </w:p>
        </w:tc>
        <w:tc>
          <w:tcPr>
            <w:tcW w:type="dxa" w:w="3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Industrial automation systems and integration — Product data representation and exchange — Part 31</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Uygunluk sınama yöntemi ve çerçevesi (veri kalitesi rehberinde anılır)</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1.3</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56000</w:t>
            </w:r>
          </w:p>
        </w:tc>
        <w:tc>
          <w:tcPr>
            <w:tcW w:type="dxa" w:w="3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Innovation management — Fundamentals and vocabulary</w:t>
            </w:r>
          </w:p>
        </w:tc>
        <w:tc>
          <w:tcPr>
            <w:tcW w:type="dxa" w:w="33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Yenilik yönetimi; bağlılık tanımıyla birlikte anılır</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5.2</w:t>
            </w:r>
          </w:p>
        </w:tc>
      </w:tr>
    </w:tbl>
    <w:p>
      <w:pPr>
        <w:spacing w:after="120" w:line="276"/>
      </w:pPr>
      <w:r>
        <w:rPr>
          <w:rFonts w:ascii="Calibri" w:cs="Calibri" w:eastAsia="Calibri" w:hAnsi="Calibri"/>
          <w:i/>
          <w:iCs/>
          <w:color w:val="59636F"/>
          <w:sz w:val="18"/>
          <w:szCs w:val="18"/>
        </w:rPr>
        <w:t xml:space="preserve">Başlıklar, rehber sayfalarındaki tanımlardan ve genel bilgiden derlenmiştir; kesin başlık ve güncel sürüm için ISO kataloğuna bakınız.</w:t>
      </w:r>
    </w:p>
    <w:p>
      <w:pPr>
        <w:pStyle w:val="Heading1"/>
        <w:keepNext/>
        <w:spacing w:after="160" w:before="360"/>
      </w:pPr>
      <w:r>
        <w:rPr>
          <w:rFonts w:ascii="Calibri" w:cs="Calibri" w:eastAsia="Calibri" w:hAnsi="Calibri"/>
          <w:b/>
          <w:bCs/>
          <w:color w:val="0B5C8A"/>
          <w:sz w:val="32"/>
          <w:szCs w:val="32"/>
        </w:rPr>
        <w:t xml:space="preserve">F.4 ISO 30414 alanları ve ilgili teknik şartnameler</w:t>
      </w:r>
    </w:p>
    <w:p>
      <w:pPr>
        <w:spacing w:after="100" w:line="276"/>
      </w:pPr>
      <w:r>
        <w:rPr>
          <w:rFonts w:ascii="Calibri" w:cs="Calibri" w:eastAsia="Calibri" w:hAnsi="Calibri"/>
          <w:sz w:val="22"/>
          <w:szCs w:val="22"/>
        </w:rPr>
        <w:t xml:space="preserve">ISO 30414’ün 11 insan sermayesi alanı, ayrıntılı metrik tanımlarını ISO/TS kümelerine devreder. Tablo, rehber sayfasındaki metrik matrisinde her alan için anılan belgeleri gösterir.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İnsan sermayesi alanı</w:t>
            </w:r>
          </w:p>
        </w:tc>
        <w:tc>
          <w:tcPr>
            <w:tcW w:type="dxa" w:w="62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İlgili teknik şartnameler (el kitabı bölümü)</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İşgücü kompozisyonu</w:t>
            </w:r>
          </w:p>
        </w:tc>
        <w:tc>
          <w:tcPr>
            <w:tcW w:type="dxa" w:w="62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ISO/TS 30425 (2.3)</w:t>
            </w:r>
          </w:p>
        </w:tc>
      </w:tr>
      <w:tr>
        <w:trPr>
          <w:cantSplit/>
        </w:trPr>
        <w:tc>
          <w:tcPr>
            <w:tcW w:type="dxa" w:w="3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Çeşitlilik</w:t>
            </w:r>
          </w:p>
        </w:tc>
        <w:tc>
          <w:tcPr>
            <w:tcW w:type="dxa" w:w="62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 30415 (5.3)</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Maliyetler</w:t>
            </w:r>
          </w:p>
        </w:tc>
        <w:tc>
          <w:tcPr>
            <w:tcW w:type="dxa" w:w="62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ISO/TS 30428 (4.3); ISO/TS 30427 (6.2); ISO/TS 30421 (5.5)</w:t>
            </w:r>
          </w:p>
        </w:tc>
      </w:tr>
      <w:tr>
        <w:trPr>
          <w:cantSplit/>
        </w:trPr>
        <w:tc>
          <w:tcPr>
            <w:tcW w:type="dxa" w:w="3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Üretkenlik</w:t>
            </w:r>
          </w:p>
        </w:tc>
        <w:tc>
          <w:tcPr>
            <w:tcW w:type="dxa" w:w="62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ISO/TS 30432 (6.1)</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Sağlık, güvenlik ve iyi olma</w:t>
            </w:r>
          </w:p>
        </w:tc>
        <w:tc>
          <w:tcPr>
            <w:tcW w:type="dxa" w:w="62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ISO/TS 24179 (5.4); ISO/TS 30425 (2.3)</w:t>
            </w:r>
          </w:p>
        </w:tc>
      </w:tr>
      <w:tr>
        <w:trPr>
          <w:cantSplit/>
        </w:trPr>
        <w:tc>
          <w:tcPr>
            <w:tcW w:type="dxa" w:w="3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Liderlik, kültür ve bağlılık</w:t>
            </w:r>
          </w:p>
        </w:tc>
        <w:tc>
          <w:tcPr>
            <w:tcW w:type="dxa" w:w="62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ISO/TS 24178 (5.2); ISO/TS 30431 (4.4)</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Uyum, etik ve işgücü ilişkileri</w:t>
            </w:r>
          </w:p>
        </w:tc>
        <w:tc>
          <w:tcPr>
            <w:tcW w:type="dxa" w:w="62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 30415 (5.3); ISO/TS 30427 (6.2); ISO/TS 30423 (1.4)</w:t>
            </w:r>
          </w:p>
        </w:tc>
      </w:tr>
      <w:tr>
        <w:trPr>
          <w:cantSplit/>
        </w:trPr>
        <w:tc>
          <w:tcPr>
            <w:tcW w:type="dxa" w:w="3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İşe alım</w:t>
            </w:r>
          </w:p>
        </w:tc>
        <w:tc>
          <w:tcPr>
            <w:tcW w:type="dxa" w:w="62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ISO/TS 30430 (3.2); ISO/TS 30410 (3.5); ISO/TS 30411 (3.4)</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Hareketlilik ve yedekleme planlaması</w:t>
            </w:r>
          </w:p>
        </w:tc>
        <w:tc>
          <w:tcPr>
            <w:tcW w:type="dxa" w:w="62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ISO/TS 30433 (2.4); ISO/TS 30410 (3.5); ISO/TS 30430 (3.2)</w:t>
            </w:r>
          </w:p>
        </w:tc>
      </w:tr>
      <w:tr>
        <w:trPr>
          <w:cantSplit/>
        </w:trPr>
        <w:tc>
          <w:tcPr>
            <w:tcW w:type="dxa" w:w="3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İşgücü devri</w:t>
            </w:r>
          </w:p>
        </w:tc>
        <w:tc>
          <w:tcPr>
            <w:tcW w:type="dxa" w:w="62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ISO/TS 30421 (5.5)</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Beceri, yetkinlik ve gelişim</w:t>
            </w:r>
          </w:p>
        </w:tc>
        <w:tc>
          <w:tcPr>
            <w:tcW w:type="dxa" w:w="62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ISO/TS 30428 (4.3); ISO/TS 30431 (4.4)</w:t>
            </w:r>
          </w:p>
        </w:tc>
      </w:tr>
    </w:tbl>
    <w:p>
      <w:pPr>
        <w:pStyle w:val="Heading1"/>
        <w:keepNext/>
        <w:spacing w:after="160" w:before="360"/>
      </w:pPr>
      <w:r>
        <w:rPr>
          <w:rFonts w:ascii="Calibri" w:cs="Calibri" w:eastAsia="Calibri" w:hAnsi="Calibri"/>
          <w:b/>
          <w:bCs/>
          <w:color w:val="0B5C8A"/>
          <w:sz w:val="32"/>
          <w:szCs w:val="32"/>
        </w:rPr>
        <w:t xml:space="preserve">F.5 Raporlama çerçeveleri ve uluslararası belgeler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038"/>
      </w:tblGrid>
      <w:tr>
        <w:trPr>
          <w:cantSplit/>
          <w:tblHeader/>
        </w:trPr>
        <w:tc>
          <w:tcPr>
            <w:tcW w:type="dxa" w:w="3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Belge / çerçeve</w:t>
            </w:r>
          </w:p>
        </w:tc>
        <w:tc>
          <w:tcPr>
            <w:tcW w:type="dxa" w:w="36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Konu</w:t>
            </w:r>
          </w:p>
        </w:tc>
        <w:tc>
          <w:tcPr>
            <w:tcW w:type="dxa" w:w="30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Bu kitapla ilişkisi</w:t>
            </w:r>
          </w:p>
        </w:tc>
      </w:tr>
      <w:tr>
        <w:trPr>
          <w:cantSplit/>
        </w:trPr>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TCFD (Task Force on Climate-related Financial Disclosures)</w:t>
            </w:r>
          </w:p>
        </w:tc>
        <w:tc>
          <w:tcPr>
            <w:tcW w:type="dxa" w:w="36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Yönetişim, strateji, risk yönetimi, metrikler ve hedefler: dört açıklama alanı</w:t>
            </w:r>
          </w:p>
        </w:tc>
        <w:tc>
          <w:tcPr>
            <w:tcW w:type="dxa" w:w="30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 30414:2025 açıklamalarını bu dört alanda yapılandırır (Ek E, TCFD bölümü)</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GRI (Global Reporting Initiative) standartları</w:t>
            </w:r>
          </w:p>
        </w:tc>
        <w:tc>
          <w:tcPr>
            <w:tcW w:type="dxa" w:w="36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Sürdürülebilirlik raporlama standartları</w:t>
            </w:r>
          </w:p>
        </w:tc>
        <w:tc>
          <w:tcPr>
            <w:tcW w:type="dxa" w:w="30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 30414:2025 ile uyum güçlendirilen çerçevelerden biri; dış rapor şablonunda uyum tablosu</w:t>
            </w:r>
          </w:p>
        </w:tc>
      </w:tr>
      <w:tr>
        <w:trPr>
          <w:cantSplit/>
        </w:trPr>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SASB standartları</w:t>
            </w:r>
          </w:p>
        </w:tc>
        <w:tc>
          <w:tcPr>
            <w:tcW w:type="dxa" w:w="36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Sektöre özgü sürdürülebilirlik açıklamaları</w:t>
            </w:r>
          </w:p>
        </w:tc>
        <w:tc>
          <w:tcPr>
            <w:tcW w:type="dxa" w:w="30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Dış rapor şablonunda uyum tablosu</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ESRS S1 (European Sustainability Reporting Standards)</w:t>
            </w:r>
          </w:p>
        </w:tc>
        <w:tc>
          <w:tcPr>
            <w:tcW w:type="dxa" w:w="36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Kendi işgücü (own workforce) konusunda Avrupa raporlama standardı</w:t>
            </w:r>
          </w:p>
        </w:tc>
        <w:tc>
          <w:tcPr>
            <w:tcW w:type="dxa" w:w="30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Dış rapor şablonunda uyum tablosu</w:t>
            </w:r>
          </w:p>
        </w:tc>
      </w:tr>
      <w:tr>
        <w:trPr>
          <w:cantSplit/>
        </w:trPr>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IFRS / ISSB S1</w:t>
            </w:r>
          </w:p>
        </w:tc>
        <w:tc>
          <w:tcPr>
            <w:tcW w:type="dxa" w:w="36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Sürdürülebilirlikle ilgili finansal bilgilerin açıklanmasına ilişkin genel gereklilikler</w:t>
            </w:r>
          </w:p>
        </w:tc>
        <w:tc>
          <w:tcPr>
            <w:tcW w:type="dxa" w:w="30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Dış rapor şablonunda uyum tablosu</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SEC insan sermayesi açıklamaları</w:t>
            </w:r>
          </w:p>
        </w:tc>
        <w:tc>
          <w:tcPr>
            <w:tcW w:type="dxa" w:w="36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ABD’de halka açık şirketler için insan sermayesi açıklama gereklilikleri</w:t>
            </w:r>
          </w:p>
        </w:tc>
        <w:tc>
          <w:tcPr>
            <w:tcW w:type="dxa" w:w="30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Dış rapor şablonunda uyum tablosu</w:t>
            </w:r>
          </w:p>
        </w:tc>
      </w:tr>
      <w:tr>
        <w:trPr>
          <w:cantSplit/>
        </w:trPr>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BM Sürdürülebilir Kalkınma Amaçları (SKA 5, 8) ve 2030 Gündemi</w:t>
            </w:r>
          </w:p>
        </w:tc>
        <w:tc>
          <w:tcPr>
            <w:tcW w:type="dxa" w:w="36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İnsana yakışır iş, ekonomik büyüme, cinsiyet eşitliği</w:t>
            </w:r>
          </w:p>
        </w:tc>
        <w:tc>
          <w:tcPr>
            <w:tcW w:type="dxa" w:w="30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 23326, ISO 30415 ve ISO/TS 24178 rehberlerinde anılır</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ILO Temel İlkeler ve Haklar Bildirgesi; BM İş ve İnsan Hakları Rehber İlkeleri</w:t>
            </w:r>
          </w:p>
        </w:tc>
        <w:tc>
          <w:tcPr>
            <w:tcW w:type="dxa" w:w="36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Çalışma yaşamında temel haklar, fırsat ve muamele eşitliği</w:t>
            </w:r>
          </w:p>
        </w:tc>
        <w:tc>
          <w:tcPr>
            <w:tcW w:type="dxa" w:w="30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 30415 rehberinde anılır (5.3)</w:t>
            </w:r>
          </w:p>
        </w:tc>
      </w:tr>
    </w:tbl>
    <w:p>
      <w:pPr>
        <w:spacing w:after="120" w:line="276"/>
      </w:pPr>
      <w:r>
        <w:rPr>
          <w:rFonts w:ascii="Calibri" w:cs="Calibri" w:eastAsia="Calibri" w:hAnsi="Calibri"/>
          <w:i/>
          <w:iCs/>
          <w:color w:val="59636F"/>
          <w:sz w:val="18"/>
          <w:szCs w:val="18"/>
        </w:rPr>
        <w:t xml:space="preserve">Çerçevelerin güncel metinleri ilgili kuruluşların resmî sitelerinden alınmalıdır; hangi çerçevenin kurumunuz için bağlayıcı ya da gönüllü olduğunu mevzuat ve hedef kitlenize göre belirleyin.</w:t>
      </w:r>
    </w:p>
    <w:p>
      <w:pPr>
        <w:pStyle w:val="Heading1"/>
        <w:keepNext/>
        <w:spacing w:after="160" w:before="360"/>
      </w:pPr>
      <w:r>
        <w:rPr>
          <w:rFonts w:ascii="Calibri" w:cs="Calibri" w:eastAsia="Calibri" w:hAnsi="Calibri"/>
          <w:b/>
          <w:bCs/>
          <w:color w:val="0B5C8A"/>
          <w:sz w:val="32"/>
          <w:szCs w:val="32"/>
        </w:rPr>
        <w:t xml:space="preserve">F.6 Akademik ve diğer kaynaklar</w:t>
      </w:r>
    </w:p>
    <w:p>
      <w:pPr>
        <w:spacing w:after="100" w:line="276"/>
      </w:pPr>
      <w:r>
        <w:rPr>
          <w:rFonts w:ascii="Calibri" w:cs="Calibri" w:eastAsia="Calibri" w:hAnsi="Calibri"/>
          <w:sz w:val="22"/>
          <w:szCs w:val="22"/>
        </w:rPr>
        <w:t xml:space="preserve">Aşağıdaki kaynaklar rehber sayfalarında, ilgili şartnamelerin kaynakçasına dayanarak anılanlardır. Tam bibliyografik bilgisi verilemeyenler için yazar ve yıl yazılmıştır; bu girdilerin ayrıntısı için ilgili ISO belgesinin kaynakça bölümüne bakınız.</w:t>
      </w:r>
    </w:p>
    <w:p>
      <w:pPr>
        <w:spacing w:after="80" w:line="270"/>
        <w:ind w:left="540" w:hanging="540"/>
      </w:pPr>
      <w:r>
        <w:rPr>
          <w:rFonts w:ascii="Calibri" w:cs="Calibri" w:eastAsia="Calibri" w:hAnsi="Calibri"/>
          <w:sz w:val="20"/>
          <w:szCs w:val="20"/>
        </w:rPr>
        <w:t xml:space="preserve">Crawford, E. R., LePine, J. A., &amp; Rich, B. L. (2010). Linking job demands and resources to employee engagement and burnout: A theoretical extension and meta-analytic test. Journal of Applied Psychology, 95(5), 834–848. [ISO/TS 30431’in tek kaynakçası; bölüm 4.4]</w:t>
      </w:r>
    </w:p>
    <w:p>
      <w:pPr>
        <w:spacing w:after="80" w:line="270"/>
        <w:ind w:left="540" w:hanging="540"/>
      </w:pPr>
      <w:r>
        <w:rPr>
          <w:rFonts w:ascii="Calibri" w:cs="Calibri" w:eastAsia="Calibri" w:hAnsi="Calibri"/>
          <w:sz w:val="20"/>
          <w:szCs w:val="20"/>
        </w:rPr>
        <w:t xml:space="preserve">Schaufeli, W. B., Bakker, A. B., &amp; Salanova, M. (2006). The measurement of work engagement with a short questionnaire: A cross-national study. Educational and Psychological Measurement, 66(4), 701–716. [UWES-9; Ek C ve ISO 23326 hesaplayıcısındaki 9 maddeli ölçek bu yapıya benzer; bölüm 5.1]</w:t>
      </w:r>
    </w:p>
    <w:p>
      <w:pPr>
        <w:spacing w:after="80" w:line="270"/>
        <w:ind w:left="540" w:hanging="540"/>
      </w:pPr>
      <w:r>
        <w:rPr>
          <w:rFonts w:ascii="Calibri" w:cs="Calibri" w:eastAsia="Calibri" w:hAnsi="Calibri"/>
          <w:sz w:val="20"/>
          <w:szCs w:val="20"/>
        </w:rPr>
        <w:t xml:space="preserve">Cascio, W. F., &amp; Boudreau, J. W. (2011). Investing in People: Financial Impact of Human Resource Initiatives (2nd ed.). FT Press. [ISO/TS 30410 kaynakçası; bölüm 3.5]</w:t>
      </w:r>
    </w:p>
    <w:p>
      <w:pPr>
        <w:spacing w:after="80" w:line="270"/>
        <w:ind w:left="540" w:hanging="540"/>
      </w:pPr>
      <w:r>
        <w:rPr>
          <w:rFonts w:ascii="Calibri" w:cs="Calibri" w:eastAsia="Calibri" w:hAnsi="Calibri"/>
          <w:sz w:val="20"/>
          <w:szCs w:val="20"/>
        </w:rPr>
        <w:t xml:space="preserve">Huselid, M. A., Beatty, R. W., &amp; Becker, B. E. (2005). “A players” or “A positions”? The strategic logic of workforce management. Harvard Business Review, 83(12), 110–117. [ISO/TS 30410 kaynakçası; bölüm 3.5]</w:t>
      </w:r>
    </w:p>
    <w:p>
      <w:pPr>
        <w:spacing w:after="80" w:line="270"/>
        <w:ind w:left="540" w:hanging="540"/>
      </w:pPr>
      <w:r>
        <w:rPr>
          <w:rFonts w:ascii="Calibri" w:cs="Calibri" w:eastAsia="Calibri" w:hAnsi="Calibri"/>
          <w:sz w:val="20"/>
          <w:szCs w:val="20"/>
        </w:rPr>
        <w:t xml:space="preserve">Fitz-Enz, J. (2009). The ROI of Human Capital: Measuring the Economic Value of Employee Performance (2nd ed.). AMACOM. [ISO/TS 30411 kaynakçası; bölüm 3.4]</w:t>
      </w:r>
    </w:p>
    <w:p>
      <w:pPr>
        <w:spacing w:after="80" w:line="270"/>
        <w:ind w:left="540" w:hanging="540"/>
      </w:pPr>
      <w:r>
        <w:rPr>
          <w:rFonts w:ascii="Calibri" w:cs="Calibri" w:eastAsia="Calibri" w:hAnsi="Calibri"/>
          <w:sz w:val="20"/>
          <w:szCs w:val="20"/>
        </w:rPr>
        <w:t xml:space="preserve">Brogden, H. E. (1949). When testing pays off. Personnel Psychology, 2(2), 171–183. [Ek A’da anılan fayda modeli; ISO 30405 matrisinde net fayda formülü; bölüm 3.1]</w:t>
      </w:r>
    </w:p>
    <w:p>
      <w:pPr>
        <w:spacing w:after="80" w:line="270"/>
        <w:ind w:left="540" w:hanging="540"/>
      </w:pPr>
      <w:r>
        <w:rPr>
          <w:rFonts w:ascii="Calibri" w:cs="Calibri" w:eastAsia="Calibri" w:hAnsi="Calibri"/>
          <w:sz w:val="20"/>
          <w:szCs w:val="20"/>
        </w:rPr>
        <w:t xml:space="preserve">Cronbach, L. J., &amp; Gleser, G. C. (1965). Psychological Tests and Personnel Decisions (2nd ed.). University of Illinois Press. [Aynı fayda modeli; bölüm 3.1]</w:t>
      </w:r>
    </w:p>
    <w:p>
      <w:pPr>
        <w:spacing w:after="100" w:line="276"/>
      </w:pPr>
      <w:r>
        <w:rPr>
          <w:rFonts w:ascii="Calibri" w:cs="Calibri" w:eastAsia="Calibri" w:hAnsi="Calibri"/>
          <w:b/>
          <w:bCs/>
          <w:sz w:val="20"/>
          <w:szCs w:val="20"/>
        </w:rPr>
        <w:t xml:space="preserve">Yalnızca yazar ve yıl bilgisi verilebilen kaynaklar: </w:t>
      </w:r>
      <w:r>
        <w:rPr>
          <w:rFonts w:ascii="Calibri" w:cs="Calibri" w:eastAsia="Calibri" w:hAnsi="Calibri"/>
          <w:sz w:val="20"/>
          <w:szCs w:val="20"/>
        </w:rPr>
        <w:t xml:space="preserve">Boudreau ve Ramstad (2001) ile Fitz-Enz’in ISO/TS 30411 kaynakçasında anılan çalışmaları (bölüm 3.4); Devoll (2007) (bölüm 3.5); Pit ve Haydon (2013) ile van der Klink ve diğerlerinin ISO/TR 30406 kaynakçasında anılan çalışmaları (bölüm 4.5). Tam künye için ilgili ISO belgesinin kaynakça bölümüne bakınız.</w:t>
      </w:r>
    </w:p>
    <w:p>
      <w:pPr>
        <w:spacing w:after="120" w:line="276"/>
      </w:pPr>
      <w:r>
        <w:rPr>
          <w:rFonts w:ascii="Calibri" w:cs="Calibri" w:eastAsia="Calibri" w:hAnsi="Calibri"/>
          <w:i/>
          <w:iCs/>
          <w:color w:val="59636F"/>
          <w:sz w:val="18"/>
          <w:szCs w:val="18"/>
        </w:rPr>
        <w:t xml:space="preserve">Not: Bu listedeki Brogden ile Cronbach ve Gleser kayıtları, ISO metninde değil el kitabının yorum notlarında anılan fayda modeli içindir; diğer kayıtların ayrıntısını, kaynak gösterecekseniz, ilgili ISO belgesinin kaynakçasından doğrulayın.</w:t>
      </w:r>
    </w:p>
    <w:p>
      <w:pPr>
        <w:pStyle w:val="Heading1"/>
        <w:keepNext/>
        <w:spacing w:after="160" w:before="360"/>
      </w:pPr>
      <w:r>
        <w:rPr>
          <w:rFonts w:ascii="Calibri" w:cs="Calibri" w:eastAsia="Calibri" w:hAnsi="Calibri"/>
          <w:b/>
          <w:bCs/>
          <w:color w:val="0B5C8A"/>
          <w:sz w:val="32"/>
          <w:szCs w:val="32"/>
        </w:rPr>
        <w:t xml:space="preserve">F.7 Türkiye mevzuatı ve ulusal belgeler</w:t>
      </w:r>
    </w:p>
    <w:p>
      <w:pPr>
        <w:spacing w:after="80" w:line="276"/>
      </w:pPr>
      <w:r>
        <w:rPr>
          <w:rFonts w:ascii="Calibri" w:cs="Calibri" w:eastAsia="Calibri" w:hAnsi="Calibri"/>
          <w:sz w:val="22"/>
          <w:szCs w:val="22"/>
        </w:rPr>
        <w:t xml:space="preserve">El kitabını Türkiye’de kullanan kurumlar için, ölçüm ve raporlamada ayrıca dikkate alınması gereken başlıca düzenlemeler (güncel metin ve değişiklikler için resmî kaynağa bakınız):</w:t>
      </w:r>
    </w:p>
    <w:p>
      <w:pPr>
        <w:pStyle w:val="ListParagraph"/>
        <w:numPr>
          <w:ilvl w:val="0"/>
          <w:numId w:val="2"/>
        </w:numPr>
        <w:spacing w:after="60" w:line="276"/>
      </w:pPr>
      <w:r>
        <w:rPr>
          <w:rFonts w:ascii="Calibri" w:cs="Calibri" w:eastAsia="Calibri" w:hAnsi="Calibri"/>
          <w:sz w:val="22"/>
          <w:szCs w:val="22"/>
        </w:rPr>
        <w:t xml:space="preserve">6698 sayılı Kişisel Verilerin Korunması Kanunu (KVKK) — İK verisinin işlenmesi, anonimlik ve gizlilik (Ek C kontrol listesi).</w:t>
      </w:r>
    </w:p>
    <w:p>
      <w:pPr>
        <w:pStyle w:val="ListParagraph"/>
        <w:numPr>
          <w:ilvl w:val="0"/>
          <w:numId w:val="2"/>
        </w:numPr>
        <w:spacing w:after="60" w:line="276"/>
      </w:pPr>
      <w:r>
        <w:rPr>
          <w:rFonts w:ascii="Calibri" w:cs="Calibri" w:eastAsia="Calibri" w:hAnsi="Calibri"/>
          <w:sz w:val="22"/>
          <w:szCs w:val="22"/>
        </w:rPr>
        <w:t xml:space="preserve">4857 sayılı İş Kanunu — iş ilişkisi, çalışma süresi, fesih ve işe iade; devir ve devamsızlık tanımlarında dikkate alınır.</w:t>
      </w:r>
    </w:p>
    <w:p>
      <w:pPr>
        <w:pStyle w:val="ListParagraph"/>
        <w:numPr>
          <w:ilvl w:val="0"/>
          <w:numId w:val="2"/>
        </w:numPr>
        <w:spacing w:after="60" w:line="276"/>
      </w:pPr>
      <w:r>
        <w:rPr>
          <w:rFonts w:ascii="Calibri" w:cs="Calibri" w:eastAsia="Calibri" w:hAnsi="Calibri"/>
          <w:sz w:val="22"/>
          <w:szCs w:val="22"/>
        </w:rPr>
        <w:t xml:space="preserve">6331 sayılı İş Sağlığı ve Güvenliği Kanunu — iş kazası kayıt ve bildirimi; ISO/TS 24179 metrikleriyle birlikte okunur.</w:t>
      </w:r>
    </w:p>
    <w:p>
      <w:pPr>
        <w:pStyle w:val="ListParagraph"/>
        <w:numPr>
          <w:ilvl w:val="0"/>
          <w:numId w:val="2"/>
        </w:numPr>
        <w:spacing w:after="60" w:line="276"/>
      </w:pPr>
      <w:r>
        <w:rPr>
          <w:rFonts w:ascii="Calibri" w:cs="Calibri" w:eastAsia="Calibri" w:hAnsi="Calibri"/>
          <w:sz w:val="22"/>
          <w:szCs w:val="22"/>
        </w:rPr>
        <w:t xml:space="preserve">Türkiye Sürdürülebilirlik Raporlama Standartları (TSRS), Kamu Gözetimi Muhasebe ve Denetim Standartları Kurumu (KGK) — sürdürülebilirlik açıklamalarına ilişkin ulusal çerçeve; dış rapor kapsamı için ilgili düzenlemeye bakınız.</w:t>
      </w:r>
    </w:p>
    <w:p>
      <w:pPr>
        <w:pStyle w:val="ListParagraph"/>
        <w:numPr>
          <w:ilvl w:val="0"/>
          <w:numId w:val="2"/>
        </w:numPr>
        <w:spacing w:after="60" w:line="276"/>
      </w:pPr>
      <w:r>
        <w:rPr>
          <w:rFonts w:ascii="Calibri" w:cs="Calibri" w:eastAsia="Calibri" w:hAnsi="Calibri"/>
          <w:sz w:val="22"/>
          <w:szCs w:val="22"/>
        </w:rPr>
        <w:t xml:space="preserve">Toplu iş sözleşmesi, sendika ve işçi temsilciliği mevzuatı — ISO 30414’teki toplu sözleşme kapsama ve temsil oranı metriklerinde tanım kaynağı.</w:t>
      </w:r>
    </w:p>
    <w:p>
      <w:pPr>
        <w:pStyle w:val="Heading1"/>
        <w:keepNext/>
        <w:spacing w:after="160" w:before="360"/>
      </w:pPr>
      <w:r>
        <w:rPr>
          <w:rFonts w:ascii="Calibri" w:cs="Calibri" w:eastAsia="Calibri" w:hAnsi="Calibri"/>
          <w:b/>
          <w:bCs/>
          <w:color w:val="0B5C8A"/>
          <w:sz w:val="32"/>
          <w:szCs w:val="32"/>
        </w:rPr>
        <w:t xml:space="preserve">F.8 Standartlara nasıl ulaşılır?</w:t>
      </w:r>
    </w:p>
    <w:p>
      <w:pPr>
        <w:pStyle w:val="ListParagraph"/>
        <w:numPr>
          <w:ilvl w:val="0"/>
          <w:numId w:val="2"/>
        </w:numPr>
        <w:spacing w:after="60" w:line="276"/>
      </w:pPr>
      <w:r>
        <w:rPr>
          <w:rFonts w:ascii="Calibri" w:cs="Calibri" w:eastAsia="Calibri" w:hAnsi="Calibri"/>
          <w:sz w:val="22"/>
          <w:szCs w:val="22"/>
        </w:rPr>
        <w:t xml:space="preserve">ISO standartları ve teknik şartnameleri ISO’nun çevrimiçi mağazasından ve ulusal standart kuruluşlarından satın alınabilir (iso.org). Türkiye’de ISO üyesi ulusal standardizasyon kuruluşu Türk Standartları Enstitüsü’dür (TSE; tse.org.tr).</w:t>
      </w:r>
    </w:p>
    <w:p>
      <w:pPr>
        <w:pStyle w:val="ListParagraph"/>
        <w:numPr>
          <w:ilvl w:val="0"/>
          <w:numId w:val="2"/>
        </w:numPr>
        <w:spacing w:after="60" w:line="276"/>
      </w:pPr>
      <w:r>
        <w:rPr>
          <w:rFonts w:ascii="Calibri" w:cs="Calibri" w:eastAsia="Calibri" w:hAnsi="Calibri"/>
          <w:sz w:val="22"/>
          <w:szCs w:val="22"/>
        </w:rPr>
        <w:t xml:space="preserve">Rehber sayfalarının kaynak gösterdiği BSI uyarlamaları (BS ISO …, PD ISO/TS …) İngiltere’de BSI tarafından yayımlanır; içerik ISO metniyle uyumlu olmakla birlikte ulusal önsöz ve notlar içerebilir.</w:t>
      </w:r>
    </w:p>
    <w:p>
      <w:pPr>
        <w:pStyle w:val="ListParagraph"/>
        <w:numPr>
          <w:ilvl w:val="0"/>
          <w:numId w:val="2"/>
        </w:numPr>
        <w:spacing w:after="60" w:line="276"/>
      </w:pPr>
      <w:r>
        <w:rPr>
          <w:rFonts w:ascii="Calibri" w:cs="Calibri" w:eastAsia="Calibri" w:hAnsi="Calibri"/>
          <w:sz w:val="22"/>
          <w:szCs w:val="22"/>
        </w:rPr>
        <w:t xml:space="preserve">Standart metinleri telif hakkıyla korunur; bu el kitabındaki Türkçe rehberler yalnızca öğretim amaçlı yorumdur ve standart metninin yerine geçmez. Denetim, sertifikasyon ya da sözleşme gerektiren kullanımlarda resmî metne başvurunuz.</w:t>
      </w:r>
    </w:p>
    <w:p>
      <w:pPr>
        <w:pStyle w:val="ListParagraph"/>
        <w:numPr>
          <w:ilvl w:val="0"/>
          <w:numId w:val="2"/>
        </w:numPr>
        <w:spacing w:after="60" w:line="276"/>
      </w:pPr>
      <w:r>
        <w:rPr>
          <w:rFonts w:ascii="Calibri" w:cs="Calibri" w:eastAsia="Calibri" w:hAnsi="Calibri"/>
          <w:sz w:val="22"/>
          <w:szCs w:val="22"/>
        </w:rPr>
        <w:t xml:space="preserve">Sürümler zamanla değişir (örneğin ISO 30414’ün 2018 sürümünün yerini 2025 sürümü almıştır). Rapor hazırlarken kullandığınız sürümü rapora yazın.</w:t>
      </w:r>
    </w:p>
    <w:p>
      <w:pPr>
        <w:spacing w:before="300"/>
      </w:pPr>
      <w:r>
        <w:rPr>
          <w:rFonts w:ascii="Calibri" w:cs="Calibri" w:eastAsia="Calibri" w:hAnsi="Calibri"/>
          <w:i/>
          <w:iCs/>
          <w:color w:val="59636F"/>
          <w:sz w:val="18"/>
          <w:szCs w:val="18"/>
        </w:rPr>
        <w:t xml:space="preserve">Bu ek, ISO/TS teknik şartnamelerinin öğretim amaçlı Türkçe yorumlarına dayanır; standart metninin yerine geçmez. Resmî metin için ilgili ISO/TSE yayınına başvurunuz.</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B95A1"/>
        <w:sz w:val="16"/>
        <w:szCs w:val="16"/>
      </w:rPr>
      <w:t xml:space="preserve">Ek F · Sayfa </w:t>
    </w:r>
    <w:r>
      <w:rPr>
        <w:rFonts w:ascii="Calibri" w:cs="Calibri" w:eastAsia="Calibri" w:hAnsi="Calibri"/>
        <w:color w:val="8B95A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B95A1"/>
        <w:sz w:val="16"/>
        <w:szCs w:val="16"/>
      </w:rPr>
      <w:t xml:space="preserve">İK Profesyonelleri için Metrik El Kitabı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libri" w:cs="Calibri" w:eastAsia="Calibri" w:hAnsi="Calibri"/>
      <w:b/>
      <w:bCs/>
      <w:sz w:val="44"/>
      <w:szCs w:val="44"/>
    </w:rPr>
  </w:style>
  <w:style w:type="paragraph" w:styleId="Heading1">
    <w:name w:val="Heading 1"/>
    <w:basedOn w:val="Normal"/>
    <w:next w:val="Normal"/>
    <w:qFormat/>
    <w:pPr>
      <w:spacing w:after="160" w:before="360"/>
      <w:outlineLvl w:val="0"/>
    </w:pPr>
    <w:rPr>
      <w:rFonts w:ascii="Calibri" w:cs="Calibri" w:eastAsia="Calibri" w:hAnsi="Calibri"/>
      <w:b/>
      <w:bCs/>
      <w:color w:val="0B5C8A"/>
      <w:sz w:val="32"/>
      <w:szCs w:val="32"/>
    </w:rPr>
  </w:style>
  <w:style w:type="paragraph" w:styleId="Heading2">
    <w:name w:val="Heading 2"/>
    <w:basedOn w:val="Normal"/>
    <w:next w:val="Normal"/>
    <w:qFormat/>
    <w:pPr>
      <w:spacing w:after="80" w:before="24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2026-10-13T07:46:56.071Z</dcterms:created>
  <dcterms:modified xsi:type="dcterms:W3CDTF">2026-10-13T07:46:56.071Z</dcterms:modified>
</cp:coreProperties>
</file>

<file path=docProps/custom.xml><?xml version="1.0" encoding="utf-8"?>
<Properties xmlns="http://schemas.openxmlformats.org/officeDocument/2006/custom-properties" xmlns:vt="http://schemas.openxmlformats.org/officeDocument/2006/docPropsVTypes"/>
</file>