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KISIM 4</w:t>
      </w:r>
    </w:p>
    <w:p>
      <w:pPr>
        <w:pStyle w:val="Title"/>
        <w:spacing w:after="200"/>
      </w:pPr>
      <w:r>
        <w:rPr>
          <w:rFonts w:ascii="Calibri" w:cs="Calibri" w:eastAsia="Calibri" w:hAnsi="Calibri"/>
          <w:b/>
          <w:bCs/>
          <w:sz w:val="48"/>
          <w:szCs w:val="48"/>
        </w:rPr>
        <w:t xml:space="preserve">Öğrenme, Gelişim ve Yetkinlik</w:t>
      </w:r>
    </w:p>
    <w:p>
      <w:pPr>
        <w:keepNext/>
        <w:pBdr>
          <w:bottom w:val="single" w:color="0B5C8A" w:sz="8" w:space="6"/>
        </w:pBdr>
        <w:spacing w:after="220"/>
      </w:pPr>
      <w:r>
        <w:rPr>
          <w:rFonts w:ascii="Calibri" w:cs="Calibri" w:eastAsia="Calibri" w:hAnsi="Calibri"/>
          <w:i/>
          <w:iCs/>
          <w:color w:val="59636F"/>
          <w:sz w:val="26"/>
          <w:szCs w:val="26"/>
        </w:rPr>
        <w:t xml:space="preserve">Beceri envanteri, öğrenme yatırımı, liderlik ve istihdam edilebilirlik.</w:t>
      </w:r>
    </w:p>
    <w:p>
      <w:pPr>
        <w:spacing w:after="140" w:line="288"/>
        <w:jc w:val="left"/>
      </w:pPr>
      <w:r>
        <w:rPr>
          <w:rFonts w:ascii="Calibri" w:cs="Calibri" w:eastAsia="Calibri" w:hAnsi="Calibri"/>
          <w:sz w:val="22"/>
          <w:szCs w:val="22"/>
        </w:rPr>
        <w:t xml:space="preserve">İşe alım, kuruma yeni bir insan getirir; öğrenme ve gelişim ise o insanın kurum için ne kadar değerli olacağını belirler. Bir kurumun bugünkü işgücü, yarının işlerini bugünün becerileriyle yapamaz. Teknoloji değişir, ürünler değişir, mevzuat değişir; çalışanların bilgi ve becerileri bu değişime ayak uyduramazsa kurum, işe alım için ödediği bedeli sessizce geri verir. Bu yüzden öğrenme ve gelişim, insan sermayesi yönetiminin hem en büyük yatırım kalemlerinden biri hem de en zor ölçülen alanlarından biridir.</w:t>
      </w:r>
    </w:p>
    <w:p>
      <w:pPr>
        <w:spacing w:after="140" w:line="288"/>
        <w:jc w:val="left"/>
      </w:pPr>
      <w:r>
        <w:rPr>
          <w:rFonts w:ascii="Calibri" w:cs="Calibri" w:eastAsia="Calibri" w:hAnsi="Calibri"/>
          <w:sz w:val="22"/>
          <w:szCs w:val="22"/>
        </w:rPr>
        <w:t xml:space="preserve">Zorluk, öğrenmenin kendisinin doğrudan görülememesinden gelir. Bir eğitimin yapıldığını, kaç kişinin katıldığını ve ne kadar harcandığını sayabiliriz. Ama kişinin gerçekten öğrenip öğrenmediğini, öğrendiğini işe taşıyıp taşımadığını ve bunun kurumun sonuçlarına dönüşüp dönüşmediğini ancak dolaylı olarak anlarız. Bu kısımdaki beş belge, bu zinciri farklı halkalarından ele alır.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900"/>
        <w:gridCol w:w="26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4.1  Öğrenme ve Gelişim Rehberi ve Metrikleri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30422</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ve gelişim nasıl yönetilmeli ve değerlendirilmeli?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Dört aşamalı süreç, yöntemler, değerlendirme zamanları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4.2  Öğrenme ve Gelişim Metrikleri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30437</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metrikleri kim için, hangi amaçla seçmeliyiz?</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Verimlilik–etkililik–sonuç kümesi, Kirkpatrick/Phillips düzeyleri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4.3  Beceri ve Yetkinlik Metrikleri Kümesi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kadar yatırım yapıyoruz, kimlere ulaşıyoruz, işgücü ne kadar yetkin?</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Maliyet, katılım, saat, kategori katılımı, yetkinlik oranı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4.4  Liderlik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30431</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Liderlere güveniliyor mu, yönetim yapısı yalın mı, liderler içeriden mi yetişiyor?</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Liderlik güveni, kontrol alanı, liderlik gelişimi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4.5  Sürdürülebilir İstihdam Edilebilirlik Yönetimi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ISO/TR 30406</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uzun vadede çalışabilir ve değerli kalıyor mu?</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 faktör, faz modeli, öncelikli eylemler</w:t>
            </w:r>
          </w:p>
        </w:tc>
      </w:tr>
    </w:tbl>
    <w:p>
      <w:pPr>
        <w:spacing w:after="140"/>
      </w:pPr>
    </w:p>
    <w:p>
      <w:pPr>
        <w:pStyle w:val="Heading3"/>
        <w:keepNext/>
        <w:spacing w:after="80" w:before="220"/>
      </w:pPr>
      <w:r>
        <w:rPr>
          <w:rFonts w:ascii="Calibri" w:cs="Calibri" w:eastAsia="Calibri" w:hAnsi="Calibri"/>
          <w:b/>
          <w:bCs/>
          <w:color w:val="0B5C8A"/>
          <w:sz w:val="23"/>
          <w:szCs w:val="23"/>
        </w:rPr>
        <w:t xml:space="preserve">Süreç, metrik, yatırım ve sürdürülebilirlik</w:t>
      </w:r>
    </w:p>
    <w:p>
      <w:pPr>
        <w:spacing w:after="140" w:line="288"/>
        <w:jc w:val="left"/>
      </w:pPr>
      <w:r>
        <w:rPr>
          <w:rFonts w:ascii="Calibri" w:cs="Calibri" w:eastAsia="Calibri" w:hAnsi="Calibri"/>
          <w:sz w:val="22"/>
          <w:szCs w:val="22"/>
        </w:rPr>
        <w:t xml:space="preserve">Dört bölüm süreçten metriğe, metrikten sürdürülebilirliğe doğru ilerler. İlk iki bölüm (ISO 30422 ve ISO/TS 30437) öğrenme ve gelişimi nasıl yöneteceğimizi ve nasıl ölçeceğimizi anlatır. Üçüncü ve dördüncü bölüm (ISO/TS 30428 ve ISO/TS 30431), ISO 30414’ün insan sermayesi raporlamasında yer alan beceri, yetkinlik ve liderlik göstergelerinin ayrıntılı tanımlarını verir. Beşinci bölüm (ISO/TR 30406) ise bakış açısını bir adım genişletir: Sorun yalnızca bugünkü yetkinlik değil, işgücünün çalışma hayatı boyunca kaliteli iş edinme ve sürdürme yeteneğidir.</w:t>
      </w:r>
    </w:p>
    <w:p>
      <w:pPr>
        <w:spacing w:after="140" w:line="288"/>
        <w:jc w:val="left"/>
      </w:pPr>
      <w:r>
        <w:rPr>
          <w:rFonts w:ascii="Calibri" w:cs="Calibri" w:eastAsia="Calibri" w:hAnsi="Calibri"/>
          <w:sz w:val="22"/>
          <w:szCs w:val="22"/>
        </w:rPr>
        <w:t xml:space="preserve">Önceki kısımlarla bağ açıktır. Kısım 2’deki işgücü planlaması, hangi becerilerin açık verdiğini söyler; Kısım 3’teki işe alım bu açığı dışarıdan kapatır; bu kısım ise açığın içeriden, mevcut çalışanların gelişimiyle nasıl kapatılacağını ele alır. Dışarıdan alma ile içeriden geliştirme arasındaki seçim, bir kurumun “al, yetiştir ya da kirala” kararıdır ve her üç kararın da ölçülebilir sonuçları vardır.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Şirket adı (Anadolu Örnek A.Ş.), tutarlar, anket sonuçları ve vakalar eğitim amaçlı kurgudur. Standartların kendi örneklerinden alınan sayılar (örneğin %95 ve %45 katılım, 10 ve 12,5 kontrol alanı) ayrıca belirtilmiştir. Rehber sayfalarındaki hesaplayıcılarla aynı hesapları kendi verinizle yapabilirsiniz; ayrıntılar için Ek C’ye bakın.</w:t>
            </w:r>
          </w:p>
        </w:tc>
      </w:tr>
    </w:tbl>
    <w:p>
      <w:pPr>
        <w:spacing w:after="120"/>
      </w:pPr>
    </w:p>
    <w:p>
      <w:pPr>
        <w:pStyle w:val="Heading1"/>
        <w:keepNext/>
        <w:pageBreakBefore/>
        <w:spacing w:after="100" w:before="0"/>
      </w:pPr>
      <w:r>
        <w:rPr>
          <w:rFonts w:ascii="Calibri" w:cs="Calibri" w:eastAsia="Calibri" w:hAnsi="Calibri"/>
          <w:b/>
          <w:bCs/>
          <w:color w:val="0B5C8A"/>
          <w:sz w:val="34"/>
          <w:szCs w:val="34"/>
        </w:rPr>
        <w:t xml:space="preserve">4.1  Öğrenme ve Gelişim Rehberi ve Metrikleri</w:t>
      </w:r>
    </w:p>
    <w:p>
      <w:pPr>
        <w:keepNext/>
        <w:pBdr>
          <w:bottom w:val="single" w:color="0B5C8A" w:sz="8" w:space="6"/>
        </w:pBdr>
        <w:spacing w:after="220"/>
      </w:pPr>
      <w:r>
        <w:rPr>
          <w:rFonts w:ascii="Calibri" w:cs="Calibri" w:eastAsia="Calibri" w:hAnsi="Calibri"/>
          <w:i/>
          <w:iCs/>
          <w:color w:val="59636F"/>
          <w:sz w:val="26"/>
          <w:szCs w:val="26"/>
        </w:rPr>
        <w:t xml:space="preserve">ISO 30422:2022 — İşyerinde planlı öğrenme ve gelişimin yönetimi ve değerlendirilmesi.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30422, işyerindeki planlı öğrenme ve gelişim (Ö&amp;G, İngilizce L&amp;D) faaliyetlerinin nasıl yönetileceğini ve değerlendirileceğini anlatan bir rehberdir. Birleşik Krallık’ta bu alanın uzun süre kılavuzu olmuş PD 76006:2017’nin yerini alır. Belgenin ayırt edici özelliği bir süreç rehberi olmasıdır: ISO/TS 30428 ve ISO/TS 30437 gibi ölçüm şartnamelerinden farklı olarak formül ve eşik vermez. Standart “neyi, nasıl yapmalı?” sorusuna yanıt verir; “hangi sayı iyidir?” sorusuna yanıt vermez. Ek B’de dört aile için (tepki, katılım, maliyet, sonuç) örnek metrikler sıralar, ancak bunlar yalnızca örnektir; kurum kendi bağlamına uygun olanları seçer ve tanımlarını yazılı hâle getirir.</w:t>
      </w:r>
    </w:p>
    <w:p>
      <w:pPr>
        <w:spacing w:after="140" w:line="288"/>
        <w:jc w:val="left"/>
      </w:pPr>
      <w:r>
        <w:rPr>
          <w:rFonts w:ascii="Calibri" w:cs="Calibri" w:eastAsia="Calibri" w:hAnsi="Calibri"/>
          <w:sz w:val="22"/>
          <w:szCs w:val="22"/>
        </w:rPr>
        <w:t xml:space="preserve">Kapsamı geniştir. Resmî ve gayriresmî öğrenmeyi, kısa dönemli operasyonel ihtiyaçları ve uzun dönemli beceri ihtiyaçlarını, bireyin kariyer ve yaşam boyu öğrenmesini kapsar. Standardın “çalışan” tanımı da geniştir: yüklenici, alt yüklenici, serbest çalışan, geçici çalışan, stajyer ve gönüllüler dahil, kurum adına iş yapan herkes çalışandır. Eğitimin idari işlemleri (kayıt, salon rezervasyonu gibi) ise kapsam dışıdır.</w:t>
      </w:r>
    </w:p>
    <w:p>
      <w:pPr>
        <w:pStyle w:val="Heading2"/>
        <w:keepNext/>
        <w:spacing w:after="110" w:before="320"/>
      </w:pPr>
      <w:r>
        <w:rPr>
          <w:rFonts w:ascii="Calibri" w:cs="Calibri" w:eastAsia="Calibri" w:hAnsi="Calibri"/>
          <w:b/>
          <w:bCs/>
          <w:sz w:val="27"/>
          <w:szCs w:val="27"/>
        </w:rPr>
        <w:t xml:space="preserve">Dört aşamalı süreç</w:t>
      </w:r>
    </w:p>
    <w:p>
      <w:pPr>
        <w:spacing w:after="140" w:line="288"/>
        <w:jc w:val="left"/>
      </w:pPr>
      <w:r>
        <w:rPr>
          <w:rFonts w:ascii="Calibri" w:cs="Calibri" w:eastAsia="Calibri" w:hAnsi="Calibri"/>
          <w:sz w:val="22"/>
          <w:szCs w:val="22"/>
        </w:rPr>
        <w:t xml:space="preserve">Standart, Ö&amp;G’yi bir PDCA (planla–uygula–kontrol et–önlem al) döngüsü olarak kurgular. Döngünün dört aşaması, ihtiyaç belirleme, planlama, uygulama ve değerlendirmedir. Kurumsal bağlam (strateji, işgücü planı, politikalar) döngüyü besler; kurumsal çıktılar (kapasite, bağlılık, değişime hazırlık, elde tutma) ise bağlama geri döner.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4338"/>
        <w:gridCol w:w="2700"/>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Ürettiği çıktı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 bağlamı</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Ö&amp;G’nin en çok değer katacağı alanları belirler, işbirlikçi ve danışmacı süreçleri destekler, kendi öğrenmesini de gösterir.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 ile Ö&amp;G önceliklerinin hizası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İhtiyaç belirleme</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ve amir diyaloğuyla mevcut yetkinlik ile görev gereklilikleri arasındaki açık bulunur; Ö&amp;G’nin uygun çözüm olup olmadığı sınanır.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çıktıları, süre, kaynaklar</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Planlama</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Öğrenen kitle ve beklenen çıktılar belirlenir, kaynaklar tanımlanır, yöntemler seçilir.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planı ve yöntem karması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Uygulama</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 yürütülür, öğrenme değerlendirilir, süreçler izlenir ve yönetilir.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kayıtları ve değerlendirme sonuçları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Bireysel yetkinlik, süreç verimliliği ve çıktılar değerlendirilir.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İyileştirme önlemleri, yeni öncelikler</w:t>
            </w:r>
          </w:p>
        </w:tc>
      </w:tr>
    </w:tbl>
    <w:p>
      <w:pPr>
        <w:spacing w:after="140"/>
      </w:pPr>
    </w:p>
    <w:p>
      <w:pPr>
        <w:pStyle w:val="Heading3"/>
        <w:keepNext/>
        <w:spacing w:after="80" w:before="220"/>
      </w:pPr>
      <w:r>
        <w:rPr>
          <w:rFonts w:ascii="Calibri" w:cs="Calibri" w:eastAsia="Calibri" w:hAnsi="Calibri"/>
          <w:b/>
          <w:bCs/>
          <w:color w:val="0B5C8A"/>
          <w:sz w:val="23"/>
          <w:szCs w:val="23"/>
        </w:rPr>
        <w:t xml:space="preserve">Üst yönetimin, amirin ve bireyin rolü</w:t>
      </w:r>
    </w:p>
    <w:p>
      <w:pPr>
        <w:spacing w:after="140" w:line="288"/>
        <w:jc w:val="left"/>
      </w:pPr>
      <w:r>
        <w:rPr>
          <w:rFonts w:ascii="Calibri" w:cs="Calibri" w:eastAsia="Calibri" w:hAnsi="Calibri"/>
          <w:sz w:val="22"/>
          <w:szCs w:val="22"/>
        </w:rPr>
        <w:t xml:space="preserve">Standart, öğrenmeyi yalnızca İK biriminin işi olarak görmez. Üst yönetim, Ö&amp;G’nin kurumsal öncelikler açısından en alakalı olduğu yerleri belirler ve bunu yaparken doğrudan çalışanların, geçici çalışanların ve çalışan temsilcilerinin görüşünü dikkate alır. Üst yönetim ayrıca çalışanlara iletilen değer ve öncelikler ile çalışanların işyeri deneyimi arasında tutarlılık sağlar, kurum içinde bilgi paylaşımını yaygınlaştırır, amirlerin öğrenenlerin öğrendiklerini işte uygulamalarına yardım etmesini teşvik eder ve kendi sürekli öğrenmesini örnek olarak gösterir.</w:t>
      </w:r>
    </w:p>
    <w:p>
      <w:pPr>
        <w:spacing w:after="140" w:line="288"/>
        <w:jc w:val="left"/>
      </w:pPr>
      <w:r>
        <w:rPr>
          <w:rFonts w:ascii="Calibri" w:cs="Calibri" w:eastAsia="Calibri" w:hAnsi="Calibri"/>
          <w:sz w:val="22"/>
          <w:szCs w:val="22"/>
        </w:rPr>
        <w:t xml:space="preserve">Bireyin rolü de aktiftir. Birey kendi öğrenme önceliklerini belirler, resmî ve gayriresmî faaliyetlere açık olur ve kısa ile uzun dönemli gelişim planını kurumsal hedeflerle hizalar. Kendi kendine yönlendirilen öğrenme, kurum insanları anlamadıkları zaman yardım istemeye, deneyimli çalışanları izlemeye, yeni yöntemler denemeye teşvik ettiğinde daha olasıdır. Çalışanların psikolojik ve zihinsel iyi oluşunu destekleyen bir ortam bu tür öğrenmeyi kolaylaştırır. Amirler ise çalışanlara görevlerini yapmak ve mevzuat gerekliliklerini karşılamak için gereken bilgi ve becerileri edinme fırsatı verir. Bu paylaşım, Ö&amp;G’nin başarısının büyük ölçüde işyerinde, eğitim odasının dışında belirlendiğini hatırlatır.</w:t>
      </w:r>
    </w:p>
    <w:p>
      <w:pPr>
        <w:pStyle w:val="Heading2"/>
        <w:keepNext/>
        <w:spacing w:after="110" w:before="320"/>
      </w:pPr>
      <w:r>
        <w:rPr>
          <w:rFonts w:ascii="Calibri" w:cs="Calibri" w:eastAsia="Calibri" w:hAnsi="Calibri"/>
          <w:b/>
          <w:bCs/>
          <w:sz w:val="27"/>
          <w:szCs w:val="27"/>
        </w:rPr>
        <w:t xml:space="preserve">İhtiyaç belirleme: L&amp;D her zaman çözüm müdür?</w:t>
      </w:r>
    </w:p>
    <w:p>
      <w:pPr>
        <w:spacing w:after="140" w:line="288"/>
        <w:jc w:val="left"/>
      </w:pPr>
      <w:r>
        <w:rPr>
          <w:rFonts w:ascii="Calibri" w:cs="Calibri" w:eastAsia="Calibri" w:hAnsi="Calibri"/>
          <w:sz w:val="22"/>
          <w:szCs w:val="22"/>
        </w:rPr>
        <w:t xml:space="preserve">Standardın ihtiyaç belirleme aşamasındaki en değerli ayrıntı, Ö&amp;G’nin uygun çözüm olup olmadığının sınanmasıdır. Performans sorunu her zaman bir beceri sorunu değildir. Araç eksikliği, belirsiz hedefler, zayıf yönetici desteği ya da yanlış işe alım da aynı belirtiyi üretir. Eğitim talebi çoğu zaman ilk akla gelen çözümdür; ama kök neden başka bir yerdeyse eğitim para ve zaman kaybı olur. İhtiyaç üç düzeyde çıkarılır: kurum, takım ve birey. Talep kaynakları aşıyorsa kurumsal hedeflere göre öncelik sırası konur.</w:t>
      </w:r>
    </w:p>
    <w:p>
      <w:pPr>
        <w:pStyle w:val="Heading2"/>
        <w:keepNext/>
        <w:spacing w:after="110" w:before="320"/>
      </w:pPr>
      <w:r>
        <w:rPr>
          <w:rFonts w:ascii="Calibri" w:cs="Calibri" w:eastAsia="Calibri" w:hAnsi="Calibri"/>
          <w:b/>
          <w:bCs/>
          <w:sz w:val="27"/>
          <w:szCs w:val="27"/>
        </w:rPr>
        <w:t xml:space="preserve">Öğrenme yöntemleri</w:t>
      </w:r>
    </w:p>
    <w:p>
      <w:pPr>
        <w:spacing w:after="140" w:line="288"/>
        <w:jc w:val="left"/>
      </w:pPr>
      <w:r>
        <w:rPr>
          <w:rFonts w:ascii="Calibri" w:cs="Calibri" w:eastAsia="Calibri" w:hAnsi="Calibri"/>
          <w:sz w:val="22"/>
          <w:szCs w:val="22"/>
        </w:rPr>
        <w:t xml:space="preserve">Standardın Ek A’sı yaygın öğrenme yöntemlerini sıralar ve açık bir ilke koyar: Hiçbir yöntem diğerinden üstün değildir. Koçluk, grup eğitimi, iş başı öğrenme, mentorluk ve e-öğrenme bağlama göre seçilir; karma (blended) kurgu esneklik sağlar.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Yöntem</w:t>
            </w:r>
          </w:p>
        </w:tc>
        <w:tc>
          <w:tcPr>
            <w:tcW w:type="dxa" w:w="6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 uygun?</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Koçluk</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Yeni sorumluluğa hazırlanırken, belirli bir performans sorununda ya da takım gelişimi öncelik olduğunda</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Resmî veya grup eğitimi</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Geniş bir grubun yapılandırılmış biçimde bilgi edinmesi veya yasal uyum sağlanması gerektiğinde</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 rol modelliği</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Sosyal öğrenme altyapısının parçası; yöneticiler için önemli, uygunsuz davranışlar da taklit edilebileceği için izlenir</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başı / iş temelli öğrenme</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Yeni becerilerin deneyimli bir meslektaşın yanında ya da yeni görevlerle öğrenilmesi gerektiğinde; staj ve çıraklık</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Takım ve ağlar yoluyla öğrenme</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Örtük bilginin, el kitaplarında yazmayan bilginin paylaşımında</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Mentorluk</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Kariyer gelişimi, az temsil edilen grupların ağ kurması, yeni teknolojik becerilerin geliştirilmesi</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 ve buddy sistemleri</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yeni gelenler için; resmî uyum kısa, sosyalleşme daha uzun sürebilir</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Yansıtıcı öğrenme</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yönetiminin parçası olarak, proje kilometre taşlarından sonra</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E-öğrenme</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Çok sayıda öğrenen, kaynak sorunu, veri koruma ve iş sağlığı güvenliği gibi uyum süreçleri</w:t>
            </w:r>
          </w:p>
        </w:tc>
      </w:tr>
    </w:tbl>
    <w:p>
      <w:pPr>
        <w:spacing w:after="140"/>
      </w:pPr>
    </w:p>
    <w:p>
      <w:pPr>
        <w:spacing w:after="140" w:line="288"/>
        <w:jc w:val="left"/>
      </w:pPr>
      <w:r>
        <w:rPr>
          <w:rFonts w:ascii="Calibri" w:cs="Calibri" w:eastAsia="Calibri" w:hAnsi="Calibri"/>
          <w:sz w:val="22"/>
          <w:szCs w:val="22"/>
        </w:rPr>
        <w:t xml:space="preserve">Yöntem seçiminde standart yedi etkeni sayar: öğrenenin geçmişi ve durumu (rol, önceki öğrenme, deneyim, dil ve kültür), az temsil edilen grupların koşulları, konu, mevcut araçlar, bütçe ve kaynaklar, öğrenme ortamı ve teknoloji kullanılıyorsa teknolojinin amaca uygunluğu. Bu liste, ISO 30415’teki kapsayıcılık ilkeleriyle de örtüşür: Öğrenme erişilebilir ve kapsayıcı olmalıdır.</w:t>
      </w:r>
    </w:p>
    <w:p>
      <w:pPr>
        <w:spacing w:after="140" w:line="288"/>
        <w:jc w:val="left"/>
      </w:pPr>
      <w:r>
        <w:rPr>
          <w:rFonts w:ascii="Calibri" w:cs="Calibri" w:eastAsia="Calibri" w:hAnsi="Calibri"/>
          <w:sz w:val="22"/>
          <w:szCs w:val="22"/>
        </w:rPr>
        <w:t xml:space="preserve">İyi bir Ö&amp;G planının özellikleri de açıktır: Öğrenme materyali belirlenen çıktıları karşılama potansiyeline sahiptir ve günceldir; güvenilir yöntemler kullanılır; çalışanın bağlamı dikkate alınır; öğrenmenin işyerinde uygulanması için fırsat planın parçasıdır; beklenen çıktıların ne ölçüde elde edildiğini belirleyecek süreçler vardır. Zamana yayılmış öğrenme, yöntem çeşitliliği, öz yansıtma ve destekleyici geri bildirim planlara eklenebilir.</w:t>
      </w:r>
    </w:p>
    <w:p>
      <w:pPr>
        <w:pStyle w:val="Heading2"/>
        <w:keepNext/>
        <w:spacing w:after="110" w:before="320"/>
      </w:pPr>
      <w:r>
        <w:rPr>
          <w:rFonts w:ascii="Calibri" w:cs="Calibri" w:eastAsia="Calibri" w:hAnsi="Calibri"/>
          <w:b/>
          <w:bCs/>
          <w:sz w:val="27"/>
          <w:szCs w:val="27"/>
        </w:rPr>
        <w:t xml:space="preserve">Değerlendirme: üç zaman, üç ilke</w:t>
      </w:r>
    </w:p>
    <w:p>
      <w:pPr>
        <w:spacing w:after="140" w:line="288"/>
        <w:jc w:val="left"/>
      </w:pPr>
      <w:r>
        <w:rPr>
          <w:rFonts w:ascii="Calibri" w:cs="Calibri" w:eastAsia="Calibri" w:hAnsi="Calibri"/>
          <w:sz w:val="22"/>
          <w:szCs w:val="22"/>
        </w:rPr>
        <w:t xml:space="preserve">Standardın değerlendirme anlayışının merkezinde iki fikir vardır. Birincisi, öğrenmenin üç noktada ölçülmesidir: faaliyetten önce, hemen sonra ve bir süre geçtikten sonra. Uygulanmayan öğrenme zamanla sönebilir; yalnızca “eğitim bitti” anındaki ölçüm kalıcılığı göstermez. İkincisi, ölçmenin geçerli, güvenilir ve adil olmasıdır. Geçerlilik, ölçmenin ölçmesi gerekeni ölçmesi; güvenilirlik, tutarlı ve düşük hatalı sonuç vermesi; adillik ise tarafsız ve öznellik ile yanlılıktan arınmış olmasıdır.</w:t>
      </w:r>
    </w:p>
    <w:p>
      <w:pPr>
        <w:spacing w:after="140" w:line="288"/>
        <w:jc w:val="left"/>
      </w:pPr>
      <w:r>
        <w:rPr>
          <w:rFonts w:ascii="Calibri" w:cs="Calibri" w:eastAsia="Calibri" w:hAnsi="Calibri"/>
          <w:sz w:val="22"/>
          <w:szCs w:val="22"/>
        </w:rPr>
        <w:t xml:space="preserve">Kanıt hem nicel hem nitel olmalıdır: öğrenen geri bildirimi, kurs sonrası testler, görüşme, doğrudan gözlem, simülasyon ve rol oynama, iş başı performansın incelenmesi ve kurumsal performans değerlendirme süreçleri değerlendirme kanıtıdır. Standart değerlendirmeyi üç soruya bağlar: Bireysel yetkinlikte ne değişti? Ö&amp;G sürecinin verimliliği ve etkililiği nasıl? Kurumsal çıktılara (verimlilik, satış ya da hizmet düzeyi, iş sağlığı ve güvenliği, kaza oranları, mevzuata uyum, çalışan bağlılığı, elde tutma) ne katkı yaptı?</w:t>
      </w:r>
    </w:p>
    <w:p>
      <w:pPr>
        <w:pStyle w:val="Heading3"/>
        <w:keepNext/>
        <w:spacing w:after="80" w:before="220"/>
      </w:pPr>
      <w:r>
        <w:rPr>
          <w:rFonts w:ascii="Calibri" w:cs="Calibri" w:eastAsia="Calibri" w:hAnsi="Calibri"/>
          <w:b/>
          <w:bCs/>
          <w:color w:val="0B5C8A"/>
          <w:sz w:val="23"/>
          <w:szCs w:val="23"/>
        </w:rPr>
        <w:t xml:space="preserve">Kurgusal örnek: Bir eğitimin üç ölçümü</w:t>
      </w:r>
    </w:p>
    <w:p>
      <w:pPr>
        <w:spacing w:after="140" w:line="288"/>
        <w:jc w:val="left"/>
      </w:pPr>
      <w:r>
        <w:rPr>
          <w:rFonts w:ascii="Calibri" w:cs="Calibri" w:eastAsia="Calibri" w:hAnsi="Calibri"/>
          <w:sz w:val="22"/>
          <w:szCs w:val="22"/>
        </w:rPr>
        <w:t xml:space="preserve">Anadolu Örnek A.Ş. kurgusal şirketinin müşteri ilişkileri ekibi, 60 kişilik bir grup için ikna edici iletişim eğitimi düzenlemiştir. Öğrenme 100 puanlık bir sınavla ve üç zamanda ölçülmüştür: eğitimden önce ortalama 52, hemen sonra 78, üç ay sonra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Öğrenme kazancı ve kalıcılık</w:t>
            </w:r>
          </w:p>
          <w:p>
            <w:pPr>
              <w:spacing w:after="0" w:line="276"/>
            </w:pPr>
            <w:r>
              <w:rPr>
                <w:rFonts w:ascii="Calibri" w:cs="Calibri" w:eastAsia="Calibri" w:hAnsi="Calibri"/>
                <w:sz w:val="21"/>
                <w:szCs w:val="21"/>
              </w:rPr>
              <w:t xml:space="preserve">Normalleştirilmiş öğrenme kazancı = (son test − ön test) ÷ (maksimum puan − ön test) × 100 = (78 − 52) ÷ (100 − 52) × 100 = %54,2. Kalıcılık = (gecikmeli test − ön test) ÷ (son test − ön test) × 100 = (70 − 52) ÷ (78 − 52) × 100 = %69,2. Yani mümkün olan gelişmenin yarısından fazlası gerçekleşmiş, ancak kazanımın yaklaşık üçte biri üç ayda sönmüştür.</w:t>
            </w:r>
          </w:p>
        </w:tc>
      </w:tr>
    </w:tbl>
    <w:p>
      <w:pPr>
        <w:spacing w:after="120"/>
      </w:pPr>
    </w:p>
    <w:p>
      <w:pPr>
        <w:spacing w:after="140" w:line="288"/>
        <w:jc w:val="left"/>
      </w:pPr>
      <w:r>
        <w:rPr>
          <w:rFonts w:ascii="Calibri" w:cs="Calibri" w:eastAsia="Calibri" w:hAnsi="Calibri"/>
          <w:sz w:val="22"/>
          <w:szCs w:val="22"/>
        </w:rPr>
        <w:t xml:space="preserve">Bu iki sayı, tepki sonuçlarıyla birlikte okununca daha anlamlıdır. Eğitime katılan 180 anket yanıtının 153’ü olumlu (5’li ölçekte 4 ve 5) puan vermişse olumlu tepki oranı %85’tir. Tepki yüksek, öğrenme kazancı orta, kalıcılık ise zayıflayan bir tablo, eğitimin hoş bulunduğunu ama yeterince pekiştirilmediğini düşündürür. Çözüm içeriği değiştirmek değil, aralıklı pekiştirme, amir desteği ve uygulama fırsatı eklemektir.</w:t>
      </w:r>
    </w:p>
    <w:p>
      <w:pPr>
        <w:pStyle w:val="Heading2"/>
        <w:keepNext/>
        <w:spacing w:after="110" w:before="320"/>
      </w:pPr>
      <w:r>
        <w:rPr>
          <w:rFonts w:ascii="Calibri" w:cs="Calibri" w:eastAsia="Calibri" w:hAnsi="Calibri"/>
          <w:b/>
          <w:bCs/>
          <w:sz w:val="27"/>
          <w:szCs w:val="27"/>
        </w:rPr>
        <w:t xml:space="preserve">Ek B’deki dört metrik ailesi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Aile</w:t>
            </w: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Örnekler</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Tepki</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tepki oranı, öğrenen ve amir memnuniyeti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hoş bulundu mu? Öğrenmeyi tek başına göstermez.</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Katılım</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 oranı, kişi başına saat, kategori katılımı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Kimlere ve ne kadar ulaşıldı? Maruz kalmayı gösterir, öğrenmeyi değil.</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maliyet, çalışan başına maliyet, yatırım getirisi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kadar harcandı? Tek başına yorumlanmaz.</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kazancı, kalıcılık, yetkinlik, kurumsal çıktılar</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değişti? En çok bilgi, en zor ölçüm.</w:t>
            </w:r>
          </w:p>
        </w:tc>
      </w:tr>
    </w:tbl>
    <w:p>
      <w:pPr>
        <w:spacing w:after="140"/>
      </w:pPr>
    </w:p>
    <w:p>
      <w:pPr>
        <w:spacing w:after="140" w:line="288"/>
        <w:jc w:val="left"/>
      </w:pPr>
      <w:r>
        <w:rPr>
          <w:rFonts w:ascii="Calibri" w:cs="Calibri" w:eastAsia="Calibri" w:hAnsi="Calibri"/>
          <w:sz w:val="22"/>
          <w:szCs w:val="22"/>
        </w:rPr>
        <w:t xml:space="preserve">Standardın formül vermemesi, rehber sayfasında “yaygın uygulama tanımları” olarak önerilen formüllerin ne anlama geldiğini de belirler: Katılım oranı yılda en az bir resmî öğrenmeye katılan tekil çalışanın toplam çalışana oranıdır; kişi başına saat toplam saatin çalışan sayısına bölünmesidir; yatırım getirisi (fayda − maliyet) ÷ maliyet × 100’dür; yeni başlayanın yetkinliğe ulaşma süresi ise toplam günün vaka sayısına bölünmesidir. Bu tanımlar ISO/TS 30428 ve ISO/TS 30437 ile tutarlıdır, ancak kurumun yazılı tanımı farklıysa o geçerlidir.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Katılım yüksek ama performans değişmiyorsa</w:t>
      </w:r>
      <w:r>
        <w:rPr>
          <w:rFonts w:ascii="Calibri" w:cs="Calibri" w:eastAsia="Calibri" w:hAnsi="Calibri"/>
          <w:sz w:val="22"/>
          <w:szCs w:val="22"/>
        </w:rPr>
        <w:t xml:space="preserve"> sorun çoğunlukla uygulamadadır: amir desteği, yeni öğrenileni deneme fırsatı, zamanla yayılmış öğrenme ve yöntem seçimi.</w:t>
      </w:r>
    </w:p>
    <w:p>
      <w:pPr>
        <w:pStyle w:val="ListParagraph"/>
        <w:numPr>
          <w:ilvl w:val="0"/>
          <w:numId w:val="2"/>
        </w:numPr>
        <w:spacing w:after="80" w:line="280"/>
      </w:pPr>
      <w:r>
        <w:rPr>
          <w:rFonts w:ascii="Calibri" w:cs="Calibri" w:eastAsia="Calibri" w:hAnsi="Calibri"/>
          <w:b/>
          <w:bCs/>
          <w:sz w:val="22"/>
          <w:szCs w:val="22"/>
        </w:rPr>
        <w:t xml:space="preserve">Tepki olumlu ama öğrenme kazancı düşükse</w:t>
      </w:r>
      <w:r>
        <w:rPr>
          <w:rFonts w:ascii="Calibri" w:cs="Calibri" w:eastAsia="Calibri" w:hAnsi="Calibri"/>
          <w:sz w:val="22"/>
          <w:szCs w:val="22"/>
        </w:rPr>
        <w:t xml:space="preserve"> eğitim hoş bulunmuş ama öğretmemiş olabilir.</w:t>
      </w:r>
    </w:p>
    <w:p>
      <w:pPr>
        <w:pStyle w:val="ListParagraph"/>
        <w:numPr>
          <w:ilvl w:val="0"/>
          <w:numId w:val="2"/>
        </w:numPr>
        <w:spacing w:after="80" w:line="280"/>
      </w:pPr>
      <w:r>
        <w:rPr>
          <w:rFonts w:ascii="Calibri" w:cs="Calibri" w:eastAsia="Calibri" w:hAnsi="Calibri"/>
          <w:b/>
          <w:bCs/>
          <w:sz w:val="22"/>
          <w:szCs w:val="22"/>
        </w:rPr>
        <w:t xml:space="preserve">Öğrenme kazancı yüksek ama kalıcılık düşükse</w:t>
      </w:r>
      <w:r>
        <w:rPr>
          <w:rFonts w:ascii="Calibri" w:cs="Calibri" w:eastAsia="Calibri" w:hAnsi="Calibri"/>
          <w:sz w:val="22"/>
          <w:szCs w:val="22"/>
        </w:rPr>
        <w:t xml:space="preserve"> bilgi iş ortamında kullanılmıyordur.</w:t>
      </w:r>
    </w:p>
    <w:p>
      <w:pPr>
        <w:pStyle w:val="ListParagraph"/>
        <w:numPr>
          <w:ilvl w:val="0"/>
          <w:numId w:val="2"/>
        </w:numPr>
        <w:spacing w:after="80" w:line="280"/>
      </w:pPr>
      <w:r>
        <w:rPr>
          <w:rFonts w:ascii="Calibri" w:cs="Calibri" w:eastAsia="Calibri" w:hAnsi="Calibri"/>
          <w:b/>
          <w:bCs/>
          <w:sz w:val="22"/>
          <w:szCs w:val="22"/>
        </w:rPr>
        <w:t xml:space="preserve">Çalışan başı maliyet düşerken yetkinlik de düşüyorsa</w:t>
      </w:r>
      <w:r>
        <w:rPr>
          <w:rFonts w:ascii="Calibri" w:cs="Calibri" w:eastAsia="Calibri" w:hAnsi="Calibri"/>
          <w:sz w:val="22"/>
          <w:szCs w:val="22"/>
        </w:rPr>
        <w:t xml:space="preserve"> tasarruf etkili öğrenmeden alınmış olabilir.</w:t>
      </w:r>
    </w:p>
    <w:p>
      <w:pPr>
        <w:pStyle w:val="ListParagraph"/>
        <w:numPr>
          <w:ilvl w:val="0"/>
          <w:numId w:val="2"/>
        </w:numPr>
        <w:spacing w:after="80" w:line="280"/>
      </w:pPr>
      <w:r>
        <w:rPr>
          <w:rFonts w:ascii="Calibri" w:cs="Calibri" w:eastAsia="Calibri" w:hAnsi="Calibri"/>
          <w:b/>
          <w:bCs/>
          <w:sz w:val="22"/>
          <w:szCs w:val="22"/>
        </w:rPr>
        <w:t xml:space="preserve">Kategoriler arası katılım farkı büyükse</w:t>
      </w:r>
      <w:r>
        <w:rPr>
          <w:rFonts w:ascii="Calibri" w:cs="Calibri" w:eastAsia="Calibri" w:hAnsi="Calibri"/>
          <w:sz w:val="22"/>
          <w:szCs w:val="22"/>
        </w:rPr>
        <w:t xml:space="preserve"> erişim engellerine bakın: zaman, iş yükü, konum, dil, az temsil edilen grupların koşulları.</w:t>
      </w:r>
    </w:p>
    <w:p>
      <w:pPr>
        <w:pStyle w:val="ListParagraph"/>
        <w:numPr>
          <w:ilvl w:val="0"/>
          <w:numId w:val="2"/>
        </w:numPr>
        <w:spacing w:after="80" w:line="280"/>
      </w:pPr>
      <w:r>
        <w:rPr>
          <w:rFonts w:ascii="Calibri" w:cs="Calibri" w:eastAsia="Calibri" w:hAnsi="Calibri"/>
          <w:b/>
          <w:bCs/>
          <w:sz w:val="22"/>
          <w:szCs w:val="22"/>
        </w:rPr>
        <w:t xml:space="preserve">Kurumsal çıktıları yalnızca Ö&amp;G’ye yüklemeyin.</w:t>
      </w:r>
      <w:r>
        <w:rPr>
          <w:rFonts w:ascii="Calibri" w:cs="Calibri" w:eastAsia="Calibri" w:hAnsi="Calibri"/>
          <w:sz w:val="22"/>
          <w:szCs w:val="22"/>
        </w:rPr>
        <w:t xml:space="preserve"> Ekonomik koşullar, yeniden yapılanma ve yönetim uygulamaları da etkilidir.</w:t>
      </w:r>
    </w:p>
    <w:p>
      <w:pPr>
        <w:pStyle w:val="ListParagraph"/>
        <w:numPr>
          <w:ilvl w:val="0"/>
          <w:numId w:val="2"/>
        </w:numPr>
        <w:spacing w:after="80" w:line="280"/>
      </w:pPr>
      <w:r>
        <w:rPr>
          <w:rFonts w:ascii="Calibri" w:cs="Calibri" w:eastAsia="Calibri" w:hAnsi="Calibri"/>
          <w:b/>
          <w:bCs/>
          <w:sz w:val="22"/>
          <w:szCs w:val="22"/>
        </w:rPr>
        <w:t xml:space="preserve">Değerlendirme cezalandırmak için değil, iyileştirmek için yapılır.</w:t>
      </w:r>
    </w:p>
    <w:p>
      <w:pPr>
        <w:spacing w:after="140" w:line="288"/>
        <w:jc w:val="left"/>
      </w:pPr>
      <w:r>
        <w:rPr>
          <w:rFonts w:ascii="Calibri" w:cs="Calibri" w:eastAsia="Calibri" w:hAnsi="Calibri"/>
          <w:sz w:val="22"/>
          <w:szCs w:val="22"/>
        </w:rPr>
        <w:t xml:space="preserve">Sınırlamalar açıktır. Standart formül ve eşik vermez. Kategori katılımları toplanıp “toplam katılım” olarak sunulamaz; aynı kişi birden çok kategoride sayılır. Maliyetin kapsamı standartta tanımlı değildir; katılımcıların eğitimde geçirdiği sürenin ücret karşılığını katmak ya da katmamak sonucu kökten değiştirir. Yatırım getirisi, parasal faydanın öğrenmeye atfedilmesi varsayımına dayanır. Küçük gruplarda oranlar oynaktır: 12 kişilik bir kategoride bir kişi yaklaşık sekiz puan yaratır.</w:t>
      </w:r>
    </w:p>
    <w:p>
      <w:pPr>
        <w:spacing w:after="140" w:line="288"/>
        <w:jc w:val="left"/>
      </w:pPr>
      <w:r>
        <w:rPr>
          <w:rFonts w:ascii="Calibri" w:cs="Calibri" w:eastAsia="Calibri" w:hAnsi="Calibri"/>
          <w:sz w:val="22"/>
          <w:szCs w:val="22"/>
        </w:rPr>
        <w:t xml:space="preserve">Raporlamada Ö&amp;G birimi tüm metrikleri, kategori ve yöntem kırılımını ve değerlendirme kalitesini görür; üst yönetim katılımı, çalışan başına maliyeti, yetkinlik eğilimini ve kurumsal çıktılarla bağlantıyı bir skor kartında; hat yönetimi kendi ekibinin katılımını ve uygulama fırsatını; çalışan temsilcileri öğrenme olanaklarına erişimi ve kapsayıcılık göstergelerini; dış paydaşlar ise ISO 30414 ve ISO/TS 30428 ile uyumlu toplam göstergeleri yöntem dipnotuyla görür. Her raporda katılım ve çalışan tanımı, maliyet kapsamı, dönem, kırılım düzeyi, öğrenmenin ölçüldüğü zamanlar ve karşılaştırma tabanı bulunmalıdır.</w:t>
      </w:r>
    </w:p>
    <w:p>
      <w:pPr>
        <w:pStyle w:val="Heading3"/>
        <w:keepNext/>
        <w:spacing w:after="80" w:before="220"/>
      </w:pPr>
      <w:r>
        <w:rPr>
          <w:rFonts w:ascii="Calibri" w:cs="Calibri" w:eastAsia="Calibri" w:hAnsi="Calibri"/>
          <w:b/>
          <w:bCs/>
          <w:color w:val="0B5C8A"/>
          <w:sz w:val="23"/>
          <w:szCs w:val="23"/>
        </w:rPr>
        <w:t xml:space="preserve">Kurgusal vaka: Eğitim iyi, uygulama zayıf</w:t>
      </w:r>
    </w:p>
    <w:p>
      <w:pPr>
        <w:spacing w:after="140" w:line="288"/>
        <w:jc w:val="left"/>
      </w:pPr>
      <w:r>
        <w:rPr>
          <w:rFonts w:ascii="Calibri" w:cs="Calibri" w:eastAsia="Calibri" w:hAnsi="Calibri"/>
          <w:sz w:val="22"/>
          <w:szCs w:val="22"/>
        </w:rPr>
        <w:t xml:space="preserve">Anadolu Örnek A.Ş.’de bir yıl içinde 40 yöneticiye geri bildirim verme eğitimi verilmiştir. Tepki yüksektir (%88 olumlu), öğrenme kazancı da iyidir. Ancak üç ay sonra yapılan kısa bir anket, yöneticilerin yalnızca %35’inin öğrendiği yöntemi düzenli kullandığını göstermiştir. ISO 30422’nin diliyle söylersek, sorun planlama ya da içerikte değil, uygulama koşullarındadır: Yöneticilerin bu yöntemi deneyebilecekleri bir toplantı formatı, üstlerinin desteği ve ayıracakları zaman sağlanmamıştır. Çözüm eğitimi tekrarlamak değil, her yöneticinin amiriyle ilk iki ay içinde bir uygulama görüşmesi yapması, aylık kısa bir yansıtma oturumu düzenlenmesi ve yöntemin performans görüşmelerine standart madde olarak eklenmesidir. Bu vaka kurgusaldır, ancak standardın “öğrenmenin işyerinde uygulanması için fırsat planın parçasıdır” ilkesinin pratik karşılığını gösterir.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Her performans sorununa eğitimle yanıt vermek.</w:t>
      </w:r>
      <w:r>
        <w:rPr>
          <w:rFonts w:ascii="Calibri" w:cs="Calibri" w:eastAsia="Calibri" w:hAnsi="Calibri"/>
          <w:sz w:val="22"/>
          <w:szCs w:val="22"/>
        </w:rPr>
        <w:t xml:space="preserve"> İhtiyaç belirleme aşamasında Ö&amp;G’nin doğru çözüm olup olmadığı sınanmaz.</w:t>
      </w:r>
    </w:p>
    <w:p>
      <w:pPr>
        <w:pStyle w:val="ListParagraph"/>
        <w:numPr>
          <w:ilvl w:val="0"/>
          <w:numId w:val="2"/>
        </w:numPr>
        <w:spacing w:after="80" w:line="280"/>
      </w:pPr>
      <w:r>
        <w:rPr>
          <w:rFonts w:ascii="Calibri" w:cs="Calibri" w:eastAsia="Calibri" w:hAnsi="Calibri"/>
          <w:b/>
          <w:bCs/>
          <w:sz w:val="22"/>
          <w:szCs w:val="22"/>
        </w:rPr>
        <w:t xml:space="preserve">Eğitim sonunda ölçümü bırakmak.</w:t>
      </w:r>
      <w:r>
        <w:rPr>
          <w:rFonts w:ascii="Calibri" w:cs="Calibri" w:eastAsia="Calibri" w:hAnsi="Calibri"/>
          <w:sz w:val="22"/>
          <w:szCs w:val="22"/>
        </w:rPr>
        <w:t xml:space="preserve"> Kalıcılık yalnızca zaman geçtikten sonra ölçülebilir.</w:t>
      </w:r>
    </w:p>
    <w:p>
      <w:pPr>
        <w:pStyle w:val="ListParagraph"/>
        <w:numPr>
          <w:ilvl w:val="0"/>
          <w:numId w:val="2"/>
        </w:numPr>
        <w:spacing w:after="80" w:line="280"/>
      </w:pPr>
      <w:r>
        <w:rPr>
          <w:rFonts w:ascii="Calibri" w:cs="Calibri" w:eastAsia="Calibri" w:hAnsi="Calibri"/>
          <w:b/>
          <w:bCs/>
          <w:sz w:val="22"/>
          <w:szCs w:val="22"/>
        </w:rPr>
        <w:t xml:space="preserve">Memnuniyeti öğrenme sanmak.</w:t>
      </w:r>
      <w:r>
        <w:rPr>
          <w:rFonts w:ascii="Calibri" w:cs="Calibri" w:eastAsia="Calibri" w:hAnsi="Calibri"/>
          <w:sz w:val="22"/>
          <w:szCs w:val="22"/>
        </w:rPr>
        <w:t xml:space="preserve"> Tepki yüksek, öğrenme düşük olabilir.</w:t>
      </w:r>
    </w:p>
    <w:p>
      <w:pPr>
        <w:pStyle w:val="ListParagraph"/>
        <w:numPr>
          <w:ilvl w:val="0"/>
          <w:numId w:val="2"/>
        </w:numPr>
        <w:spacing w:after="80" w:line="280"/>
      </w:pPr>
      <w:r>
        <w:rPr>
          <w:rFonts w:ascii="Calibri" w:cs="Calibri" w:eastAsia="Calibri" w:hAnsi="Calibri"/>
          <w:b/>
          <w:bCs/>
          <w:sz w:val="22"/>
          <w:szCs w:val="22"/>
        </w:rPr>
        <w:t xml:space="preserve">Yöntemi moda göre seçmek.</w:t>
      </w:r>
      <w:r>
        <w:rPr>
          <w:rFonts w:ascii="Calibri" w:cs="Calibri" w:eastAsia="Calibri" w:hAnsi="Calibri"/>
          <w:sz w:val="22"/>
          <w:szCs w:val="22"/>
        </w:rPr>
        <w:t xml:space="preserve"> Standart hiçbir yöntemin diğerinden üstün olmadığını söyler.</w:t>
      </w:r>
    </w:p>
    <w:p>
      <w:pPr>
        <w:pStyle w:val="ListParagraph"/>
        <w:numPr>
          <w:ilvl w:val="0"/>
          <w:numId w:val="2"/>
        </w:numPr>
        <w:spacing w:after="80" w:line="280"/>
      </w:pPr>
      <w:r>
        <w:rPr>
          <w:rFonts w:ascii="Calibri" w:cs="Calibri" w:eastAsia="Calibri" w:hAnsi="Calibri"/>
          <w:b/>
          <w:bCs/>
          <w:sz w:val="22"/>
          <w:szCs w:val="22"/>
        </w:rPr>
        <w:t xml:space="preserve">Kapsayıcılığı unutmak.</w:t>
      </w:r>
      <w:r>
        <w:rPr>
          <w:rFonts w:ascii="Calibri" w:cs="Calibri" w:eastAsia="Calibri" w:hAnsi="Calibri"/>
          <w:sz w:val="22"/>
          <w:szCs w:val="22"/>
        </w:rPr>
        <w:t xml:space="preserve"> Vardiyalı, uzaktan çalışan ya da dil engeli olan çalışanlar eğitime erişemiyorsa katılım oranı sorunu gizler.</w:t>
      </w:r>
    </w:p>
    <w:p>
      <w:pPr>
        <w:pStyle w:val="Heading2"/>
        <w:keepNext/>
        <w:spacing w:after="110" w:before="320"/>
      </w:pPr>
      <w:r>
        <w:rPr>
          <w:rFonts w:ascii="Calibri" w:cs="Calibri" w:eastAsia="Calibri" w:hAnsi="Calibri"/>
          <w:b/>
          <w:bCs/>
          <w:sz w:val="27"/>
          <w:szCs w:val="27"/>
        </w:rPr>
        <w:t xml:space="preserve">Öğrenme ortamı ve amirin rolü</w:t>
      </w:r>
    </w:p>
    <w:p>
      <w:pPr>
        <w:spacing w:after="140" w:line="288"/>
        <w:jc w:val="left"/>
      </w:pPr>
      <w:r>
        <w:rPr>
          <w:rFonts w:ascii="Calibri" w:cs="Calibri" w:eastAsia="Calibri" w:hAnsi="Calibri"/>
          <w:sz w:val="22"/>
          <w:szCs w:val="22"/>
        </w:rPr>
        <w:t xml:space="preserve">Standardın en sık gözden kaçan mesajlarından biri, öğrenmenin büyük bölümünün eğitim odasının dışında gerçekleştiğidir. Öğrenme ortamı, öğrenene destek olan fiziksel ya da sanal ortamdır ve uygulamanın koşullarını da kapsar: Zaman var mı, sakin ve donanımlı bir ortam var mı, amir yeni öğrenileni denemeye izin veriyor mu? Amirin rolü iki yönlüdür. Başlangıçta çalışanla birlikte öğrenme ihtiyacını netleştirir; eğitimden sonra ise öğrenileni uygulama fırsatı yaratır. Amir desteği olmayan bir eğitim, yüksek kaliteli bir içerikle bile sınırlı sonuç üretir. Bu nedenle ölçüm tasarlarken amir memnuniyetini ve uygulama fırsatını da izlemek, yalnızca katılımcı tepkisini toplamaktan daha değerlidir.</w:t>
      </w:r>
    </w:p>
    <w:p>
      <w:pPr>
        <w:spacing w:after="140" w:line="288"/>
        <w:jc w:val="left"/>
      </w:pPr>
      <w:r>
        <w:rPr>
          <w:rFonts w:ascii="Calibri" w:cs="Calibri" w:eastAsia="Calibri" w:hAnsi="Calibri"/>
          <w:sz w:val="22"/>
          <w:szCs w:val="22"/>
        </w:rPr>
        <w:t xml:space="preserve">Kapsayıcılık da burada devreye girer. Vardiyalı çalışan, uzaktan çalışan, engelli ya da dil bakımından farklı bir gruba ait çalışanlar için erişilebilir bir öğrenme ortamı, ISO 30415’in ilkeleriyle birlikte düşünülmelidir. Standardın az temsil edilen gruplara özel koşulları yöntem seçiminin bir etkeni olarak saymasının nedeni budur: Aynı e-öğrenme modülü, bazı çalışanlar için erişilemez olabilir.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3"/>
        </w:numPr>
        <w:spacing w:after="80" w:line="280"/>
      </w:pPr>
      <w:r>
        <w:rPr>
          <w:rFonts w:ascii="Calibri" w:cs="Calibri" w:eastAsia="Calibri" w:hAnsi="Calibri"/>
          <w:sz w:val="22"/>
          <w:szCs w:val="22"/>
        </w:rPr>
        <w:t xml:space="preserve">Kurumsal bağlamı yazın: strateji, değerler, hedefler, işgücü planı.</w:t>
      </w:r>
    </w:p>
    <w:p>
      <w:pPr>
        <w:pStyle w:val="ListParagraph"/>
        <w:numPr>
          <w:ilvl w:val="0"/>
          <w:numId w:val="3"/>
        </w:numPr>
        <w:spacing w:after="80" w:line="280"/>
      </w:pPr>
      <w:r>
        <w:rPr>
          <w:rFonts w:ascii="Calibri" w:cs="Calibri" w:eastAsia="Calibri" w:hAnsi="Calibri"/>
          <w:sz w:val="22"/>
          <w:szCs w:val="22"/>
        </w:rPr>
        <w:t xml:space="preserve">İhtiyacı kurum, takım ve birey düzeyinde çıkarın; Ö&amp;G’nin doğru çözüm olup olmadığını sınayın.</w:t>
      </w:r>
    </w:p>
    <w:p>
      <w:pPr>
        <w:pStyle w:val="ListParagraph"/>
        <w:numPr>
          <w:ilvl w:val="0"/>
          <w:numId w:val="3"/>
        </w:numPr>
        <w:spacing w:after="80" w:line="280"/>
      </w:pPr>
      <w:r>
        <w:rPr>
          <w:rFonts w:ascii="Calibri" w:cs="Calibri" w:eastAsia="Calibri" w:hAnsi="Calibri"/>
          <w:sz w:val="22"/>
          <w:szCs w:val="22"/>
        </w:rPr>
        <w:t xml:space="preserve">Öğrenme çıktısını ve süresini tanımlayın.</w:t>
      </w:r>
    </w:p>
    <w:p>
      <w:pPr>
        <w:pStyle w:val="ListParagraph"/>
        <w:numPr>
          <w:ilvl w:val="0"/>
          <w:numId w:val="3"/>
        </w:numPr>
        <w:spacing w:after="80" w:line="280"/>
      </w:pPr>
      <w:r>
        <w:rPr>
          <w:rFonts w:ascii="Calibri" w:cs="Calibri" w:eastAsia="Calibri" w:hAnsi="Calibri"/>
          <w:sz w:val="22"/>
          <w:szCs w:val="22"/>
        </w:rPr>
        <w:t xml:space="preserve">Öncelik sırası koyun ve kaynakları belirleyin.</w:t>
      </w:r>
    </w:p>
    <w:p>
      <w:pPr>
        <w:pStyle w:val="ListParagraph"/>
        <w:numPr>
          <w:ilvl w:val="0"/>
          <w:numId w:val="3"/>
        </w:numPr>
        <w:spacing w:after="80" w:line="280"/>
      </w:pPr>
      <w:r>
        <w:rPr>
          <w:rFonts w:ascii="Calibri" w:cs="Calibri" w:eastAsia="Calibri" w:hAnsi="Calibri"/>
          <w:sz w:val="22"/>
          <w:szCs w:val="22"/>
        </w:rPr>
        <w:t xml:space="preserve">Yöntemi seçin; gerekirse karma kurgu kullanın.</w:t>
      </w:r>
    </w:p>
    <w:p>
      <w:pPr>
        <w:pStyle w:val="ListParagraph"/>
        <w:numPr>
          <w:ilvl w:val="0"/>
          <w:numId w:val="3"/>
        </w:numPr>
        <w:spacing w:after="80" w:line="280"/>
      </w:pPr>
      <w:r>
        <w:rPr>
          <w:rFonts w:ascii="Calibri" w:cs="Calibri" w:eastAsia="Calibri" w:hAnsi="Calibri"/>
          <w:sz w:val="22"/>
          <w:szCs w:val="22"/>
        </w:rPr>
        <w:t xml:space="preserve">Uygulama koşullarını güvence altına alın: zaman, ortam, amir desteği, deneme fırsatı.</w:t>
      </w:r>
    </w:p>
    <w:p>
      <w:pPr>
        <w:pStyle w:val="ListParagraph"/>
        <w:numPr>
          <w:ilvl w:val="0"/>
          <w:numId w:val="3"/>
        </w:numPr>
        <w:spacing w:after="80" w:line="280"/>
      </w:pPr>
      <w:r>
        <w:rPr>
          <w:rFonts w:ascii="Calibri" w:cs="Calibri" w:eastAsia="Calibri" w:hAnsi="Calibri"/>
          <w:sz w:val="22"/>
          <w:szCs w:val="22"/>
        </w:rPr>
        <w:t xml:space="preserve">Öğrenmeyi üç noktada ölçün: önce, hemen sonra, zaman geçtikten sonra.</w:t>
      </w:r>
    </w:p>
    <w:p>
      <w:pPr>
        <w:pStyle w:val="ListParagraph"/>
        <w:numPr>
          <w:ilvl w:val="0"/>
          <w:numId w:val="3"/>
        </w:numPr>
        <w:spacing w:after="80" w:line="280"/>
      </w:pPr>
      <w:r>
        <w:rPr>
          <w:rFonts w:ascii="Calibri" w:cs="Calibri" w:eastAsia="Calibri" w:hAnsi="Calibri"/>
          <w:sz w:val="22"/>
          <w:szCs w:val="22"/>
        </w:rPr>
        <w:t xml:space="preserve">Metrik tanımlarını yazın: katılım, çalışan ve maliyetin kapsamı.</w:t>
      </w:r>
    </w:p>
    <w:p>
      <w:pPr>
        <w:pStyle w:val="ListParagraph"/>
        <w:numPr>
          <w:ilvl w:val="0"/>
          <w:numId w:val="3"/>
        </w:numPr>
        <w:spacing w:after="80" w:line="280"/>
      </w:pPr>
      <w:r>
        <w:rPr>
          <w:rFonts w:ascii="Calibri" w:cs="Calibri" w:eastAsia="Calibri" w:hAnsi="Calibri"/>
          <w:sz w:val="22"/>
          <w:szCs w:val="22"/>
        </w:rPr>
        <w:t xml:space="preserve">Kurumsal çıktılara bağlayın ve bulguları bir sonraki ihtiyaç belirlemeye taşıyın.</w:t>
      </w:r>
    </w:p>
    <w:p>
      <w:pPr>
        <w:pStyle w:val="Heading1"/>
        <w:keepNext/>
        <w:pageBreakBefore/>
        <w:spacing w:after="100" w:before="0"/>
      </w:pPr>
      <w:r>
        <w:rPr>
          <w:rFonts w:ascii="Calibri" w:cs="Calibri" w:eastAsia="Calibri" w:hAnsi="Calibri"/>
          <w:b/>
          <w:bCs/>
          <w:color w:val="0B5C8A"/>
          <w:sz w:val="34"/>
          <w:szCs w:val="34"/>
        </w:rPr>
        <w:t xml:space="preserve">4.2  Öğrenme ve Gelişim Metrikleri</w:t>
      </w:r>
    </w:p>
    <w:p>
      <w:pPr>
        <w:keepNext/>
        <w:pBdr>
          <w:bottom w:val="single" w:color="0B5C8A" w:sz="8" w:space="6"/>
        </w:pBdr>
        <w:spacing w:after="220"/>
      </w:pPr>
      <w:r>
        <w:rPr>
          <w:rFonts w:ascii="Calibri" w:cs="Calibri" w:eastAsia="Calibri" w:hAnsi="Calibri"/>
          <w:i/>
          <w:iCs/>
          <w:color w:val="59636F"/>
          <w:sz w:val="26"/>
          <w:szCs w:val="26"/>
        </w:rPr>
        <w:t xml:space="preserve">ISO/TS 30437:2023 — Ö&amp;G metriklerinin kullanıcıya, amaca, türe ve kurum büyüklüğüne göre seçimi.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30422 öğrenme ve gelişimin nasıl yönetileceğini söyler; ISO/TS 30437 ise nasıl ölçüleceğini ve raporlanacağını. Bu teknik şartname, bir kuruluşun Ö&amp;G faaliyetini ölçmek için kullanılabilecek 50’den fazla metriği tek bir seçim mantığı içinde sınıflandırır: kimin kullanacağı, neden ölçüldüğü, metriğin türü ve kuruluşun büyüklüğü. ISO 30414’ün öğrenmeye ilişkin sekiz metriğinin tamamı bu belgede yer alır. Şartnamenin değeri, tek tek formüllerden çok, hangi metriğin kime ve ne için uygun olduğunu söyleyen seçim çerçevesindedir.</w:t>
      </w:r>
    </w:p>
    <w:p>
      <w:pPr>
        <w:spacing w:after="140" w:line="288"/>
        <w:jc w:val="left"/>
      </w:pPr>
      <w:r>
        <w:rPr>
          <w:rFonts w:ascii="Calibri" w:cs="Calibri" w:eastAsia="Calibri" w:hAnsi="Calibri"/>
          <w:sz w:val="22"/>
          <w:szCs w:val="22"/>
        </w:rPr>
        <w:t xml:space="preserve">Bu belge, bir Ö&amp;G biriminin yıllık ölçüm ve raporlama stratejisini sıfırdan kurarken, yönetim kuruluna sunulacak öğrenme skor kartını tasarlarken, tek bir programın (satış eğitimi, uyum eğitimi) etkinliğini ve getirisini değerlendirirken, mevcut metrik setinin dengeli olup olmadığını denetlerken ve tam zamanlı öğrenme birimi olmayan küçük ve orta ölçekli işletmelerde asgari metrik setini belirlerken kullanılabilir.</w:t>
      </w:r>
    </w:p>
    <w:p>
      <w:pPr>
        <w:pStyle w:val="Heading2"/>
        <w:keepNext/>
        <w:spacing w:after="110" w:before="320"/>
      </w:pPr>
      <w:r>
        <w:rPr>
          <w:rFonts w:ascii="Calibri" w:cs="Calibri" w:eastAsia="Calibri" w:hAnsi="Calibri"/>
          <w:b/>
          <w:bCs/>
          <w:sz w:val="27"/>
          <w:szCs w:val="27"/>
        </w:rPr>
        <w:t xml:space="preserve">Dört karar, sırayla</w:t>
      </w:r>
    </w:p>
    <w:p>
      <w:pPr>
        <w:spacing w:after="140" w:line="288"/>
        <w:jc w:val="left"/>
      </w:pPr>
      <w:r>
        <w:rPr>
          <w:rFonts w:ascii="Calibri" w:cs="Calibri" w:eastAsia="Calibri" w:hAnsi="Calibri"/>
          <w:sz w:val="22"/>
          <w:szCs w:val="22"/>
        </w:rPr>
        <w:t xml:space="preserve">Metrik seçimi tek bir soruyla başlamaz; dört karar sırayla verilir ve her karar bir sonrakinin seçenek kümesini daraltır: kullanıcı, ölçme nedeni, metrik türü ve rapor türü.</w:t>
      </w:r>
    </w:p>
    <w:p>
      <w:pPr>
        <w:pStyle w:val="Heading3"/>
        <w:keepNext/>
        <w:spacing w:after="80" w:before="220"/>
      </w:pPr>
      <w:r>
        <w:rPr>
          <w:rFonts w:ascii="Calibri" w:cs="Calibri" w:eastAsia="Calibri" w:hAnsi="Calibri"/>
          <w:b/>
          <w:bCs/>
          <w:color w:val="0B5C8A"/>
          <w:sz w:val="23"/>
          <w:szCs w:val="23"/>
        </w:rPr>
        <w:t xml:space="preserve">Karar 1: Kullanıcı ve toplulaştırma düzeyi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138"/>
      </w:tblGrid>
      <w:tr>
        <w:trPr>
          <w:cantSplit/>
          <w:tblHeader/>
        </w:trPr>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Kullanıcı</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Veri düzeyi</w:t>
            </w:r>
          </w:p>
        </w:tc>
        <w:tc>
          <w:tcPr>
            <w:tcW w:type="dxa" w:w="4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ilgi alanı</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Üst düzey kurum lideri (CEO, CFO, İK direktörü, yönetim kurulu)</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geneli</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metrikleri, erişim, toplam maliyet; toplamda 10–20 metrik, en az üç ayda bir</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Grup / ekip lideri</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Ekip veya kohort</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 sayısı, kurs ve saat, tepki, öğrenme, uygulama</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birimi yöneticisi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geneli ve birim kırılımı</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lider metrikleri artı varlık kullanım oranları, zamanında geliştirme ve sunum, karma dağılımı</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Program yöneticisi</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program</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Tamamlanma oranı ve tarihi, düzey 1–5 etkililik, maliyet, sonuç</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Öğrenen (birey)</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Kişiye özgü</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Alınan kurslar, saatler, gelişim planı, yetkinlik değerlendirmesi</w:t>
            </w:r>
          </w:p>
        </w:tc>
      </w:tr>
    </w:tbl>
    <w:p>
      <w:pPr>
        <w:spacing w:after="140"/>
      </w:pPr>
    </w:p>
    <w:p>
      <w:pPr>
        <w:pStyle w:val="Heading3"/>
        <w:keepNext/>
        <w:spacing w:after="80" w:before="220"/>
      </w:pPr>
      <w:r>
        <w:rPr>
          <w:rFonts w:ascii="Calibri" w:cs="Calibri" w:eastAsia="Calibri" w:hAnsi="Calibri"/>
          <w:b/>
          <w:bCs/>
          <w:color w:val="0B5C8A"/>
          <w:sz w:val="23"/>
          <w:szCs w:val="23"/>
        </w:rPr>
        <w:t xml:space="preserve">Karar 2: Ölçme nedeni</w:t>
      </w:r>
    </w:p>
    <w:p>
      <w:pPr>
        <w:spacing w:after="140" w:line="288"/>
        <w:jc w:val="left"/>
      </w:pPr>
      <w:r>
        <w:rPr>
          <w:rFonts w:ascii="Calibri" w:cs="Calibri" w:eastAsia="Calibri" w:hAnsi="Calibri"/>
          <w:sz w:val="22"/>
          <w:szCs w:val="22"/>
        </w:rPr>
        <w:t xml:space="preserve">Aynı metrik, farklı nedenlerle ölçülür ve neden, gereken analitik olgunluğu ile rapor türünü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300"/>
        <w:gridCol w:w="2538"/>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Neden</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Analitik olgunluk</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Bilgilendirme</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 kurs var? Kullanım artıyor mu?</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Skor kartı / gösterge paneli</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İzleme</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 kabul edilebilir aralıkta kaldı mı?</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Düşük–orta (eşik gerekir)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Eşikli skor kartı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Program verimli ve etkili miydi, sonuç alındı mı?</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Yüksek (istatistik)</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Program değerlendirme raporu</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Yönetme</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Plana göre neredeyiz, yıl sonu tahmini nedir?</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En yüksek (hedef ve tahmin)</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Yönetim raporu</w:t>
            </w:r>
          </w:p>
        </w:tc>
      </w:tr>
    </w:tbl>
    <w:p>
      <w:pPr>
        <w:spacing w:after="140"/>
      </w:pPr>
    </w:p>
    <w:p>
      <w:pPr>
        <w:spacing w:after="140" w:line="288"/>
        <w:jc w:val="left"/>
      </w:pPr>
      <w:r>
        <w:rPr>
          <w:rFonts w:ascii="Calibri" w:cs="Calibri" w:eastAsia="Calibri" w:hAnsi="Calibri"/>
          <w:sz w:val="22"/>
          <w:szCs w:val="22"/>
        </w:rPr>
        <w:t xml:space="preserve">Bu ayrımın pratik sonucu, tüm raporların aynı veriyle ama farklı biçimde üretilmesidir. Bir CEO’ya yıl içinde “plana göre neredeyiz?” sorusunun yanıtı yıl sonu tahminiyle gerekirken, bir program yöneticisine “bu program işe yaradı mı?” sorusunun yanıtı kontrol grubuyla ya da istatistiksel bir karşılaştırmayla gerekir. Ölçme nedenini ölçüm dönemi başında taraflarla mutabık kalarak kayda geçirmek, yıl sonunda yanlış beklentilerle karşılaşmayı önler.</w:t>
      </w:r>
    </w:p>
    <w:p>
      <w:pPr>
        <w:pStyle w:val="Heading3"/>
        <w:keepNext/>
        <w:spacing w:after="80" w:before="220"/>
      </w:pPr>
      <w:r>
        <w:rPr>
          <w:rFonts w:ascii="Calibri" w:cs="Calibri" w:eastAsia="Calibri" w:hAnsi="Calibri"/>
          <w:b/>
          <w:bCs/>
          <w:color w:val="0B5C8A"/>
          <w:sz w:val="23"/>
          <w:szCs w:val="23"/>
        </w:rPr>
        <w:t xml:space="preserve">Karar 3: Üç metrik türü ve dengeli küme kuralı</w:t>
      </w:r>
    </w:p>
    <w:p>
      <w:pPr>
        <w:spacing w:after="140" w:line="288"/>
        <w:jc w:val="left"/>
      </w:pPr>
      <w:r>
        <w:rPr>
          <w:rFonts w:ascii="Calibri" w:cs="Calibri" w:eastAsia="Calibri" w:hAnsi="Calibri"/>
          <w:sz w:val="22"/>
          <w:szCs w:val="22"/>
        </w:rPr>
        <w:t xml:space="preserve">Şartname metrikleri üç türe ayırır. Verimlilik metrikleri nicelik ölçer: kaç kişi, kaç kurs, ne maliyet. Etkililik metrikleri nitelik ölçer: program ne kadar iyiydi. Sonuç metrikleri ise öğrenmenin hedeflenen kurumsal göstergedeki karşılığını ölçer. Ana kural, dengeli küme kuralıdır: Yalnızca verimlilik ölçerseniz ekip hızlanır ama kalite düşer; yalnızca etkililik ölçerseniz kalite artar ama takvim kayar. Her kullanıcı için iki türden de en az bir metrik seçilir. Program bir kurumsal amacı (satış, kaza, verimlilik, elde tutma, bağlılık) desteklemek üzere tasarlandıysa mutlaka bir sonuç metriği eklenir; desteklemiyorsa yalnızca öğrenen düzeyinde sonuç vardır.</w:t>
      </w:r>
    </w:p>
    <w:p>
      <w:pPr>
        <w:pStyle w:val="Heading3"/>
        <w:keepNext/>
        <w:spacing w:after="80" w:before="220"/>
      </w:pPr>
      <w:r>
        <w:rPr>
          <w:rFonts w:ascii="Calibri" w:cs="Calibri" w:eastAsia="Calibri" w:hAnsi="Calibri"/>
          <w:b/>
          <w:bCs/>
          <w:color w:val="0B5C8A"/>
          <w:sz w:val="23"/>
          <w:szCs w:val="23"/>
        </w:rPr>
        <w:t xml:space="preserve">Karar 4: Rapor türü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w:t>
            </w:r>
          </w:p>
        </w:tc>
        <w:tc>
          <w:tcPr>
            <w:tcW w:type="dxa" w:w="6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Ayırt edici özelliği</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Skor kartı / gösterge paneli</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Satırlar metrik, sütunlar dönem; panelde görsel ve toplulaştırılmış veri</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Eşikli skor kartı</w:t>
            </w:r>
          </w:p>
        </w:tc>
        <w:tc>
          <w:tcPr>
            <w:tcW w:type="dxa" w:w="6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metriğe yeşil–sarı–kırmızı aralık tanımlanır</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Program değerlendirme raporu</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İhtiyaç, plan, uygulama özeti, sonuç ve çıkarılan dersler</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raporu</w:t>
            </w:r>
          </w:p>
        </w:tc>
        <w:tc>
          <w:tcPr>
            <w:tcW w:type="dxa" w:w="6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Geçen yıl, plan, yıl başından bugüne, plana göre, tahmin ve tahminin plana göre durumu</w:t>
            </w:r>
          </w:p>
        </w:tc>
      </w:tr>
    </w:tbl>
    <w:p>
      <w:pPr>
        <w:spacing w:after="140"/>
      </w:pPr>
    </w:p>
    <w:p>
      <w:pPr>
        <w:spacing w:after="140" w:line="288"/>
        <w:jc w:val="left"/>
      </w:pPr>
      <w:r>
        <w:rPr>
          <w:rFonts w:ascii="Calibri" w:cs="Calibri" w:eastAsia="Calibri" w:hAnsi="Calibri"/>
          <w:sz w:val="22"/>
          <w:szCs w:val="22"/>
        </w:rPr>
        <w:t xml:space="preserve">Kullanıcıya göre öneri de açıktır: Üst düzey liderlere gösterge paneli ve özet yönetim raporu (skor kartı genellikle fazla ayrıntılıdır), grup liderlerine skor kartı ya da panel, öğrenme birimi yöneticisine dört raporun tamamı, program yöneticisine program değerlendirme ve program yönetim raporu, bireye ise öğrenme yönetim sisteminden üretilen kişisel rapor ve yılda en az bir kez güncellenen gelişim planı.</w:t>
      </w:r>
    </w:p>
    <w:p>
      <w:pPr>
        <w:pStyle w:val="Heading2"/>
        <w:keepNext/>
        <w:spacing w:after="110" w:before="320"/>
      </w:pPr>
      <w:r>
        <w:rPr>
          <w:rFonts w:ascii="Calibri" w:cs="Calibri" w:eastAsia="Calibri" w:hAnsi="Calibri"/>
          <w:b/>
          <w:bCs/>
          <w:sz w:val="27"/>
          <w:szCs w:val="27"/>
        </w:rPr>
        <w:t xml:space="preserve">Etkililik ve düzey modeli</w:t>
      </w:r>
    </w:p>
    <w:p>
      <w:pPr>
        <w:spacing w:after="140" w:line="288"/>
        <w:jc w:val="left"/>
      </w:pPr>
      <w:r>
        <w:rPr>
          <w:rFonts w:ascii="Calibri" w:cs="Calibri" w:eastAsia="Calibri" w:hAnsi="Calibri"/>
          <w:sz w:val="22"/>
          <w:szCs w:val="22"/>
        </w:rPr>
        <w:t xml:space="preserve">Etkililik metrikleri, Kirkpatrick ve Phillips düzeylerine yaslanır. Düzey 1 tepkiyi, düzey 2 öğrenmeyi, düzey 3 işe uygulamayı, düzey 4 sonucu (kurumsal göstergedeki değişim), düzey 5 yatırım getirisini ölçer.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5238"/>
        <w:gridCol w:w="1700"/>
      </w:tblGrid>
      <w:tr>
        <w:trPr>
          <w:cantSplit/>
          <w:tblHeader/>
        </w:trPr>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Düzey</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ölçer?</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Tür</w:t>
            </w:r>
          </w:p>
        </w:tc>
      </w:tr>
      <w:tr>
        <w:trPr>
          <w:cantSplit/>
        </w:trPr>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Tepki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Katılımcının ve amaç sahibinin programa tepkisi ve memnuniyeti</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r>
        <w:trPr>
          <w:cantSplit/>
        </w:trPr>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Kazanılan bilgi ve beceri; sınav puanı ya da gözlem</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r>
        <w:trPr>
          <w:cantSplit/>
        </w:trPr>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Uygulama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İşte fiilen uygulanan içerik oranı; niyet ve gerçek uygulama ayrı ölçülür</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r>
        <w:trPr>
          <w:cantSplit/>
        </w:trPr>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 etki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göstergedeki değişim (Kirkpatrick) ya da öğrenmeye izole edilmiş pay (Phillips)</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w:t>
            </w:r>
          </w:p>
        </w:tc>
      </w:tr>
      <w:tr>
        <w:trPr>
          <w:cantSplit/>
        </w:trPr>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Yatırım getirisi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Net faydanın program maliyetine oranı</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bl>
    <w:p>
      <w:pPr>
        <w:spacing w:after="140"/>
      </w:pPr>
    </w:p>
    <w:p>
      <w:pPr>
        <w:spacing w:after="140" w:line="288"/>
        <w:jc w:val="left"/>
      </w:pPr>
      <w:r>
        <w:rPr>
          <w:rFonts w:ascii="Calibri" w:cs="Calibri" w:eastAsia="Calibri" w:hAnsi="Calibri"/>
          <w:sz w:val="22"/>
          <w:szCs w:val="22"/>
        </w:rPr>
        <w:t xml:space="preserve">Burada kritik bir ayrım vardır. İzole etki yalnızca Phillips yaklaşımında hesaplanır; dolayısıyla yatırım getirisi (YG, ROI) de yalnızca bu yaklaşımla üretilebilir. Kirkpatrick yaklaşımı öğrenmeyi diğer etkenlerden ayırmaz; bir kanıt zinciri kurar. Kurumsal göstergedeki değişimi öğrenmeye atfetmeden anlatmak yetiyorsa Kirkpatrick’in sonuç düzeyi yeterlidir. YG hesaplanacaksa, izole etki için bir yöntem (kontrol grubu, regresyon ya da katılımcı tahmini) gerekir.</w:t>
      </w:r>
    </w:p>
    <w:p>
      <w:pPr>
        <w:pStyle w:val="Heading2"/>
        <w:keepNext/>
        <w:spacing w:after="110" w:before="320"/>
      </w:pPr>
      <w:r>
        <w:rPr>
          <w:rFonts w:ascii="Calibri" w:cs="Calibri" w:eastAsia="Calibri" w:hAnsi="Calibri"/>
          <w:b/>
          <w:bCs/>
          <w:sz w:val="27"/>
          <w:szCs w:val="27"/>
        </w:rPr>
        <w:t xml:space="preserve">Temel metrikler ve formüller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Tür</w:t>
            </w:r>
          </w:p>
        </w:tc>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4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 (özet)</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Tamamlanma oranı</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Tamamlayan ÷ payda × 100 (payda hedef kitle ya da kayıtlı sayısı)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Erişim (reach)</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Tekil katılımcı ÷ toplam çalışan × 100</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biçimsel eğitim saati</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saat ÷ çalışan sayısı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Kullanım oranı</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Kullanılan ÷ mevcut × 100 (kurs, doküman, derslik, eğitmen)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Etkililik</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tepki yüzdesi (düzey 1)</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5’li ölçekte 4 ve 5 veren ÷ yanıt veren × 100</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Uygulama oranı (düzey 3)</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 başına uygulanan içerik yüzdesinin ortalaması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Sonuç</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İzole etki (düzey 4, Phillips)</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değişim × öğrenmenin katkı yüzdesi</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Yatırım getirisi (düzey 5)</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(Brüt fayda − toplam maliyet) ÷ toplam maliyet × 100</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Sonuç</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yetkinlik oranı</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Birim çalışan sayılarıyla ağırlıklı ortalama yetkinlik puanı</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İzole etki ve yatırım getirisi</w:t>
      </w:r>
    </w:p>
    <w:p>
      <w:pPr>
        <w:spacing w:after="140" w:line="288"/>
        <w:jc w:val="left"/>
      </w:pPr>
      <w:r>
        <w:rPr>
          <w:rFonts w:ascii="Calibri" w:cs="Calibri" w:eastAsia="Calibri" w:hAnsi="Calibri"/>
          <w:sz w:val="22"/>
          <w:szCs w:val="22"/>
        </w:rPr>
        <w:t xml:space="preserve">Anadolu Örnek A.Ş.’nin satış ekibi için tasarlanan danışmanlık satışı programı, yılsonunda satış gelirinde 6 puanlık bir artışla çakışmıştır. Katılımcı tahmini yöntemiyle katılımcılardan, bu artışın ne kadarını programa atfettikleri sorulmuştur; güven düzeltmesinden sonra ortalama katkı %30 çıkmıştır.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İzole etki ve YG</w:t>
            </w:r>
          </w:p>
          <w:p>
            <w:pPr>
              <w:spacing w:after="0" w:line="276"/>
            </w:pPr>
            <w:r>
              <w:rPr>
                <w:rFonts w:ascii="Calibri" w:cs="Calibri" w:eastAsia="Calibri" w:hAnsi="Calibri"/>
                <w:sz w:val="21"/>
                <w:szCs w:val="21"/>
              </w:rPr>
              <w:t xml:space="preserve">İzole etki = 6 puan × %30 = %1,8 puanlık satış artışı. Bu artışın parasal karşılığı (brüt fayda) 900.000 TL olarak hesaplanmış, program maliyeti 600.000 TL olsun. YG = (900.000 − 600.000) ÷ 600.000 × 100 = %50. Katılımcıların eğitimde geçirdiği zamanın değeri (fırsat maliyeti) 150.000 TL olarak maliyete eklenirse YG = (900.000 − 750.000) ÷ 750.000 × 100 = %20’ye iner.</w:t>
            </w:r>
          </w:p>
        </w:tc>
      </w:tr>
    </w:tbl>
    <w:p>
      <w:pPr>
        <w:spacing w:after="120"/>
      </w:pPr>
    </w:p>
    <w:p>
      <w:pPr>
        <w:spacing w:after="140" w:line="288"/>
        <w:jc w:val="left"/>
      </w:pPr>
      <w:r>
        <w:rPr>
          <w:rFonts w:ascii="Calibri" w:cs="Calibri" w:eastAsia="Calibri" w:hAnsi="Calibri"/>
          <w:sz w:val="22"/>
          <w:szCs w:val="22"/>
        </w:rPr>
        <w:t xml:space="preserve">İki YG arasındaki 30 puanlık fark, şartnamenin yorum ilkesini somutlaştırır: Fırsat maliyeti paydaya dahil edilmezse getiri sistematik olarak şişer. Bu nedenle YG raporlanırken maliyetin kapsamı yazılmalıdır. Aynı rapor, kurumsal değişimi (6 puan), öğrenmenin katkı yüzdesini (%30) ve izole etkiyi (%1,8) birlikte göstermelidir; yalnızca izole etkiyi paylaşmak yanıltıcıdır.</w:t>
      </w:r>
    </w:p>
    <w:p>
      <w:pPr>
        <w:pStyle w:val="Heading3"/>
        <w:keepNext/>
        <w:spacing w:after="80" w:before="220"/>
      </w:pPr>
      <w:r>
        <w:rPr>
          <w:rFonts w:ascii="Calibri" w:cs="Calibri" w:eastAsia="Calibri" w:hAnsi="Calibri"/>
          <w:b/>
          <w:bCs/>
          <w:color w:val="0B5C8A"/>
          <w:sz w:val="23"/>
          <w:szCs w:val="23"/>
        </w:rPr>
        <w:t xml:space="preserve">Kurgusal örnek: Yönetim raporu</w:t>
      </w:r>
    </w:p>
    <w:p>
      <w:pPr>
        <w:spacing w:after="140" w:line="288"/>
        <w:jc w:val="left"/>
      </w:pPr>
      <w:r>
        <w:rPr>
          <w:rFonts w:ascii="Calibri" w:cs="Calibri" w:eastAsia="Calibri" w:hAnsi="Calibri"/>
          <w:sz w:val="22"/>
          <w:szCs w:val="22"/>
        </w:rPr>
        <w:t xml:space="preserve">“Yönetme” amacıyla hazırlanan bir yönetim raporu, geçen yıl, plan, yıl başından bugüne, plana göre yüzde ve yıl sonu tahmini sütunlarından oluşur. Anadolu Örnek A.Ş.’de yıllık eğitim saati planı çalışan başına 20 saattir. Haziran sonunda gerçekleşme çalışan başına 8,2 saattir; plana göre %41’dir ve yılın yarısı geçmiştir. Mevsimsellik nedeniyle ikinci yarıda eğitim yoğunlaşıyor ise tahmin 19,4 saat olabilir; mevsimsellik yoksa 16,4 saat. İki tahmin arasındaki fark, yılın ikinci yarısı için bir eylem planının gerekip gerekmediğini söyler. Raporun gücü, tek bir sayıdan çok planla gerçekleşme arasındaki farkın ve tahmin varsayımının açıkça görülmesindedir.</w:t>
      </w:r>
    </w:p>
    <w:p>
      <w:pPr>
        <w:pStyle w:val="Heading2"/>
        <w:keepNext/>
        <w:spacing w:after="110" w:before="320"/>
      </w:pPr>
      <w:r>
        <w:rPr>
          <w:rFonts w:ascii="Calibri" w:cs="Calibri" w:eastAsia="Calibri" w:hAnsi="Calibri"/>
          <w:b/>
          <w:bCs/>
          <w:sz w:val="27"/>
          <w:szCs w:val="27"/>
        </w:rPr>
        <w:t xml:space="preserve">Yorum kuralları</w:t>
      </w:r>
    </w:p>
    <w:p>
      <w:pPr>
        <w:pStyle w:val="ListParagraph"/>
        <w:numPr>
          <w:ilvl w:val="0"/>
          <w:numId w:val="2"/>
        </w:numPr>
        <w:spacing w:after="80" w:line="280"/>
      </w:pPr>
      <w:r>
        <w:rPr>
          <w:rFonts w:ascii="Calibri" w:cs="Calibri" w:eastAsia="Calibri" w:hAnsi="Calibri"/>
          <w:b/>
          <w:bCs/>
          <w:sz w:val="22"/>
          <w:szCs w:val="22"/>
        </w:rPr>
        <w:t xml:space="preserve">Verimlilik metriklerinin çoğu tek başına anlam taşımaz.</w:t>
      </w:r>
      <w:r>
        <w:rPr>
          <w:rFonts w:ascii="Calibri" w:cs="Calibri" w:eastAsia="Calibri" w:hAnsi="Calibri"/>
          <w:sz w:val="22"/>
          <w:szCs w:val="22"/>
        </w:rPr>
        <w:t xml:space="preserve"> Kullanım oranı ve zamanında tamamlama gibi birkaçında yüksek her zaman iyidir; geri kalanı geçmiş dönem, plan ya da kıyaslama değeriyle karşılaştırılmalıdır.</w:t>
      </w:r>
    </w:p>
    <w:p>
      <w:pPr>
        <w:pStyle w:val="ListParagraph"/>
        <w:numPr>
          <w:ilvl w:val="0"/>
          <w:numId w:val="2"/>
        </w:numPr>
        <w:spacing w:after="80" w:line="280"/>
      </w:pPr>
      <w:r>
        <w:rPr>
          <w:rFonts w:ascii="Calibri" w:cs="Calibri" w:eastAsia="Calibri" w:hAnsi="Calibri"/>
          <w:b/>
          <w:bCs/>
          <w:sz w:val="22"/>
          <w:szCs w:val="22"/>
        </w:rPr>
        <w:t xml:space="preserve">Düşük kullanım oranı bir varlık sorunudur.</w:t>
      </w:r>
      <w:r>
        <w:rPr>
          <w:rFonts w:ascii="Calibri" w:cs="Calibri" w:eastAsia="Calibri" w:hAnsi="Calibri"/>
          <w:sz w:val="22"/>
          <w:szCs w:val="22"/>
        </w:rPr>
        <w:t xml:space="preserve"> Kullanılan kurs sayısının mevcut kurs sayısına oranı düşükse içeriğin yararı ya da duyurusu sorgulanır; kurs elden geçirilir veya kaldırılır.</w:t>
      </w:r>
    </w:p>
    <w:p>
      <w:pPr>
        <w:pStyle w:val="ListParagraph"/>
        <w:numPr>
          <w:ilvl w:val="0"/>
          <w:numId w:val="2"/>
        </w:numPr>
        <w:spacing w:after="80" w:line="280"/>
      </w:pPr>
      <w:r>
        <w:rPr>
          <w:rFonts w:ascii="Calibri" w:cs="Calibri" w:eastAsia="Calibri" w:hAnsi="Calibri"/>
          <w:b/>
          <w:bCs/>
          <w:sz w:val="22"/>
          <w:szCs w:val="22"/>
        </w:rPr>
        <w:t xml:space="preserve">Düzey 3 düşükken düzey 1 ve 2 yüksekse</w:t>
      </w:r>
      <w:r>
        <w:rPr>
          <w:rFonts w:ascii="Calibri" w:cs="Calibri" w:eastAsia="Calibri" w:hAnsi="Calibri"/>
          <w:sz w:val="22"/>
          <w:szCs w:val="22"/>
        </w:rPr>
        <w:t xml:space="preserve"> sorun tasarımda değil, işe dönüşte ve yönetici desteğindedir; pekiştirme mekanizması eklenir.</w:t>
      </w:r>
    </w:p>
    <w:p>
      <w:pPr>
        <w:pStyle w:val="ListParagraph"/>
        <w:numPr>
          <w:ilvl w:val="0"/>
          <w:numId w:val="2"/>
        </w:numPr>
        <w:spacing w:after="80" w:line="280"/>
      </w:pPr>
      <w:r>
        <w:rPr>
          <w:rFonts w:ascii="Calibri" w:cs="Calibri" w:eastAsia="Calibri" w:hAnsi="Calibri"/>
          <w:b/>
          <w:bCs/>
          <w:sz w:val="22"/>
          <w:szCs w:val="22"/>
        </w:rPr>
        <w:t xml:space="preserve">%0 YG, yatırımın kendini karşıladığı noktadır.</w:t>
      </w:r>
      <w:r>
        <w:rPr>
          <w:rFonts w:ascii="Calibri" w:cs="Calibri" w:eastAsia="Calibri" w:hAnsi="Calibri"/>
          <w:sz w:val="22"/>
          <w:szCs w:val="22"/>
        </w:rPr>
        <w:t xml:space="preserve"> Pozitif ama zayıf atıflı bir YG temkinle sunulmalıdır.</w:t>
      </w:r>
    </w:p>
    <w:p>
      <w:pPr>
        <w:pStyle w:val="Heading3"/>
        <w:keepNext/>
        <w:spacing w:after="80" w:before="220"/>
      </w:pPr>
      <w:r>
        <w:rPr>
          <w:rFonts w:ascii="Calibri" w:cs="Calibri" w:eastAsia="Calibri" w:hAnsi="Calibri"/>
          <w:b/>
          <w:bCs/>
          <w:color w:val="0B5C8A"/>
          <w:sz w:val="23"/>
          <w:szCs w:val="23"/>
        </w:rPr>
        <w:t xml:space="preserve">Kurgusal örnek: Dengeli küme denetimi</w:t>
      </w:r>
    </w:p>
    <w:p>
      <w:pPr>
        <w:spacing w:after="140" w:line="288"/>
        <w:jc w:val="left"/>
      </w:pPr>
      <w:r>
        <w:rPr>
          <w:rFonts w:ascii="Calibri" w:cs="Calibri" w:eastAsia="Calibri" w:hAnsi="Calibri"/>
          <w:sz w:val="22"/>
          <w:szCs w:val="22"/>
        </w:rPr>
        <w:t xml:space="preserve">Anadolu Örnek A.Ş.’nin öğrenme birimi, yönetim kuruluna sunduğu skor kartında sekiz metrik kullanmaktadır: toplam maliyet, çalışan başına maliyet, erişim, ortalama saat, tamamlanma oranı, kullanım oranı, eğitmen sayısı ve zamanında teslim. Denetimde sekizinin de verimlilik metriği olduğu görülür. Şartnamenin dengeli küme kuralına göre eksik olan, en az bir etkililik metriği (örneğin düzey 1 olumlu tepki ve düzey 3 uygulama oranı) ve satış ile müşteri memnuniyeti hedeflerine bağlı programlar için bir sonuç metriğidir. Birim skor kartına üç yeni satır ekler: iki programda düzey 3 uygulama oranı ve satış programı için izole etki. Böylece kurul, yalnızca “ne kadar eğitim yaptık?” değil, “eğitim işe yaradı mı?” sorusuna da yanıt alır. Bu kurgusal örnek, şartnamenin en pratik katkısının mevcut raporu bir kontrol listesiyle sınamak olduğunu gösterir.</w:t>
      </w:r>
    </w:p>
    <w:p>
      <w:pPr>
        <w:pStyle w:val="Heading2"/>
        <w:keepNext/>
        <w:spacing w:after="110" w:before="320"/>
      </w:pPr>
      <w:r>
        <w:rPr>
          <w:rFonts w:ascii="Calibri" w:cs="Calibri" w:eastAsia="Calibri" w:hAnsi="Calibri"/>
          <w:b/>
          <w:bCs/>
          <w:sz w:val="27"/>
          <w:szCs w:val="27"/>
        </w:rPr>
        <w:t xml:space="preserve">Kuruluş büyüklüğüne göre uyarlama</w:t>
      </w:r>
    </w:p>
    <w:p>
      <w:pPr>
        <w:spacing w:after="140" w:line="288"/>
        <w:jc w:val="left"/>
      </w:pPr>
      <w:r>
        <w:rPr>
          <w:rFonts w:ascii="Calibri" w:cs="Calibri" w:eastAsia="Calibri" w:hAnsi="Calibri"/>
          <w:sz w:val="22"/>
          <w:szCs w:val="22"/>
        </w:rPr>
        <w:t xml:space="preserve">Şartname büyüklük boyutunu açıkça ele alır. Büyük kuruluşlar tam matrisi kullanabilir; küçük ve orta ölçekli işletmelerde (KOBİ) matrisin küçük kolonu yeterlidir ve metrik sayısı bilinçli olarak daha azdır. Öğrenme birimi yöneticisi olmayan bir KOBİ’de öğrenmeden sorumlu kişi tam ya da yarı zamanlı olabilir, hatta sorumluluk kuruluşa dağılmış olabilir; matristeki “öğrenme yöneticisi” sütunu o rolü kim üstlenmişse ona aittir. Bu yaklaşım, standartların küçük kurumlar için uygulanabilirliğini korumak açısından önemlidir: Bir KOBİ için en iyi başlangıç, toplam maliyet, erişim, bir tepki metriği ve bir sonuç göstergesinden oluşan dört metriklik bir kümedir.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4"/>
        </w:numPr>
        <w:spacing w:after="80" w:line="280"/>
      </w:pPr>
      <w:r>
        <w:rPr>
          <w:rFonts w:ascii="Calibri" w:cs="Calibri" w:eastAsia="Calibri" w:hAnsi="Calibri"/>
          <w:sz w:val="22"/>
          <w:szCs w:val="22"/>
        </w:rPr>
        <w:t xml:space="preserve">Kullanıcıyı belirleyin: metriği kim okuyacak ve hangi düzeyde toplulaştırma istiyor?</w:t>
      </w:r>
    </w:p>
    <w:p>
      <w:pPr>
        <w:pStyle w:val="ListParagraph"/>
        <w:numPr>
          <w:ilvl w:val="0"/>
          <w:numId w:val="4"/>
        </w:numPr>
        <w:spacing w:after="80" w:line="280"/>
      </w:pPr>
      <w:r>
        <w:rPr>
          <w:rFonts w:ascii="Calibri" w:cs="Calibri" w:eastAsia="Calibri" w:hAnsi="Calibri"/>
          <w:sz w:val="22"/>
          <w:szCs w:val="22"/>
        </w:rPr>
        <w:t xml:space="preserve">Ölçme nedenini ölçüm dönemi başında taraflarla mutabık kalarak kayda geçirin.</w:t>
      </w:r>
    </w:p>
    <w:p>
      <w:pPr>
        <w:pStyle w:val="ListParagraph"/>
        <w:numPr>
          <w:ilvl w:val="0"/>
          <w:numId w:val="4"/>
        </w:numPr>
        <w:spacing w:after="80" w:line="280"/>
      </w:pPr>
      <w:r>
        <w:rPr>
          <w:rFonts w:ascii="Calibri" w:cs="Calibri" w:eastAsia="Calibri" w:hAnsi="Calibri"/>
          <w:sz w:val="22"/>
          <w:szCs w:val="22"/>
        </w:rPr>
        <w:t xml:space="preserve">Dengeli küme kurun: en az bir verimlilik, bir etkililik metriği; amaca bağlı program varsa bir sonuç metriği.</w:t>
      </w:r>
    </w:p>
    <w:p>
      <w:pPr>
        <w:pStyle w:val="ListParagraph"/>
        <w:numPr>
          <w:ilvl w:val="0"/>
          <w:numId w:val="4"/>
        </w:numPr>
        <w:spacing w:after="80" w:line="280"/>
      </w:pPr>
      <w:r>
        <w:rPr>
          <w:rFonts w:ascii="Calibri" w:cs="Calibri" w:eastAsia="Calibri" w:hAnsi="Calibri"/>
          <w:sz w:val="22"/>
          <w:szCs w:val="22"/>
        </w:rPr>
        <w:t xml:space="preserve">Kuruluş büyüklüğüne göre budayın.</w:t>
      </w:r>
    </w:p>
    <w:p>
      <w:pPr>
        <w:pStyle w:val="ListParagraph"/>
        <w:numPr>
          <w:ilvl w:val="0"/>
          <w:numId w:val="4"/>
        </w:numPr>
        <w:spacing w:after="80" w:line="280"/>
      </w:pPr>
      <w:r>
        <w:rPr>
          <w:rFonts w:ascii="Calibri" w:cs="Calibri" w:eastAsia="Calibri" w:hAnsi="Calibri"/>
          <w:sz w:val="22"/>
          <w:szCs w:val="22"/>
        </w:rPr>
        <w:t xml:space="preserve">Rapor türünü ölçme nedenine bağlayın; izleme yapılacaksa her metriğe eşik (yeşil, sarı, kırmızı) tanımlayın.</w:t>
      </w:r>
    </w:p>
    <w:p>
      <w:pPr>
        <w:pStyle w:val="Heading2"/>
        <w:keepNext/>
        <w:spacing w:after="110" w:before="320"/>
      </w:pPr>
      <w:r>
        <w:rPr>
          <w:rFonts w:ascii="Calibri" w:cs="Calibri" w:eastAsia="Calibri" w:hAnsi="Calibri"/>
          <w:b/>
          <w:bCs/>
          <w:sz w:val="27"/>
          <w:szCs w:val="27"/>
        </w:rPr>
        <w:t xml:space="preserve">Sınırlamalar ve dikkat noktaları</w:t>
      </w:r>
    </w:p>
    <w:p>
      <w:pPr>
        <w:pStyle w:val="ListParagraph"/>
        <w:numPr>
          <w:ilvl w:val="0"/>
          <w:numId w:val="2"/>
        </w:numPr>
        <w:spacing w:after="80" w:line="280"/>
      </w:pPr>
      <w:r>
        <w:rPr>
          <w:rFonts w:ascii="Calibri" w:cs="Calibri" w:eastAsia="Calibri" w:hAnsi="Calibri"/>
          <w:b/>
          <w:bCs/>
          <w:sz w:val="22"/>
          <w:szCs w:val="22"/>
        </w:rPr>
        <w:t xml:space="preserve">Katılımcı tahmini yöntemi özneldir.</w:t>
      </w:r>
      <w:r>
        <w:rPr>
          <w:rFonts w:ascii="Calibri" w:cs="Calibri" w:eastAsia="Calibri" w:hAnsi="Calibri"/>
          <w:sz w:val="22"/>
          <w:szCs w:val="22"/>
        </w:rPr>
        <w:t xml:space="preserve"> Kontrol grubu ya da regresyon daha isabetlidir; akademik yayında ya da hukuki süreçte kontrol grubu tercih edilir. Güven düzeltmesi için örneklem en az 30 kişi olmalıdır.</w:t>
      </w:r>
    </w:p>
    <w:p>
      <w:pPr>
        <w:pStyle w:val="ListParagraph"/>
        <w:numPr>
          <w:ilvl w:val="0"/>
          <w:numId w:val="2"/>
        </w:numPr>
        <w:spacing w:after="80" w:line="280"/>
      </w:pPr>
      <w:r>
        <w:rPr>
          <w:rFonts w:ascii="Calibri" w:cs="Calibri" w:eastAsia="Calibri" w:hAnsi="Calibri"/>
          <w:b/>
          <w:bCs/>
          <w:sz w:val="22"/>
          <w:szCs w:val="22"/>
        </w:rPr>
        <w:t xml:space="preserve">Tekil sayımlar aylar boyunca toplanamaz.</w:t>
      </w:r>
      <w:r>
        <w:rPr>
          <w:rFonts w:ascii="Calibri" w:cs="Calibri" w:eastAsia="Calibri" w:hAnsi="Calibri"/>
          <w:sz w:val="22"/>
          <w:szCs w:val="22"/>
        </w:rPr>
        <w:t xml:space="preserve"> Aynı kişi birden çok ayda görünür; yıl başından bugüne tekil değer ayrı hesaplanmalıdır.</w:t>
      </w:r>
    </w:p>
    <w:p>
      <w:pPr>
        <w:pStyle w:val="ListParagraph"/>
        <w:numPr>
          <w:ilvl w:val="0"/>
          <w:numId w:val="2"/>
        </w:numPr>
        <w:spacing w:after="80" w:line="280"/>
      </w:pPr>
      <w:r>
        <w:rPr>
          <w:rFonts w:ascii="Calibri" w:cs="Calibri" w:eastAsia="Calibri" w:hAnsi="Calibri"/>
          <w:b/>
          <w:bCs/>
          <w:sz w:val="22"/>
          <w:szCs w:val="22"/>
        </w:rPr>
        <w:t xml:space="preserve">Toplam maliyet katılımcı zamanını ve seyahatini içermez;</w:t>
      </w:r>
      <w:r>
        <w:rPr>
          <w:rFonts w:ascii="Calibri" w:cs="Calibri" w:eastAsia="Calibri" w:hAnsi="Calibri"/>
          <w:sz w:val="22"/>
          <w:szCs w:val="22"/>
        </w:rPr>
        <w:t xml:space="preserve"> fırsat maliyeti ayrı satırdır.</w:t>
      </w:r>
    </w:p>
    <w:p>
      <w:pPr>
        <w:pStyle w:val="ListParagraph"/>
        <w:numPr>
          <w:ilvl w:val="0"/>
          <w:numId w:val="2"/>
        </w:numPr>
        <w:spacing w:after="80" w:line="280"/>
      </w:pPr>
      <w:r>
        <w:rPr>
          <w:rFonts w:ascii="Calibri" w:cs="Calibri" w:eastAsia="Calibri" w:hAnsi="Calibri"/>
          <w:b/>
          <w:bCs/>
          <w:sz w:val="22"/>
          <w:szCs w:val="22"/>
        </w:rPr>
        <w:t xml:space="preserve">Her program kurumsal sonuç metriğine bağlanamaz.</w:t>
      </w:r>
      <w:r>
        <w:rPr>
          <w:rFonts w:ascii="Calibri" w:cs="Calibri" w:eastAsia="Calibri" w:hAnsi="Calibri"/>
          <w:sz w:val="22"/>
          <w:szCs w:val="22"/>
        </w:rPr>
        <w:t xml:space="preserve"> Bağlanamayanlarda öğrenen düzeyinde sonuç (yetkinlik artışı, sertifika) kullanılır.</w:t>
      </w:r>
    </w:p>
    <w:p>
      <w:pPr>
        <w:pStyle w:val="ListParagraph"/>
        <w:numPr>
          <w:ilvl w:val="0"/>
          <w:numId w:val="2"/>
        </w:numPr>
        <w:spacing w:after="80" w:line="280"/>
      </w:pPr>
      <w:r>
        <w:rPr>
          <w:rFonts w:ascii="Calibri" w:cs="Calibri" w:eastAsia="Calibri" w:hAnsi="Calibri"/>
          <w:b/>
          <w:bCs/>
          <w:sz w:val="22"/>
          <w:szCs w:val="22"/>
        </w:rPr>
        <w:t xml:space="preserve">Tek toplulaştırılmış değer eşitsizlikleri gizleyebilir.</w:t>
      </w:r>
      <w:r>
        <w:rPr>
          <w:rFonts w:ascii="Calibri" w:cs="Calibri" w:eastAsia="Calibri" w:hAnsi="Calibri"/>
          <w:sz w:val="22"/>
          <w:szCs w:val="22"/>
        </w:rPr>
        <w:t xml:space="preserve"> Birim, bölge, cinsiyet ve kıdem kırılımları raporlanmalıdır.</w:t>
      </w:r>
    </w:p>
    <w:p>
      <w:pPr>
        <w:spacing w:after="140" w:line="288"/>
        <w:jc w:val="left"/>
      </w:pPr>
      <w:r>
        <w:rPr>
          <w:rFonts w:ascii="Calibri" w:cs="Calibri" w:eastAsia="Calibri" w:hAnsi="Calibri"/>
          <w:sz w:val="22"/>
          <w:szCs w:val="22"/>
        </w:rPr>
        <w:t xml:space="preserve">Tamamlanma oranının paydası konusunda şartnamenin kendi sorusu pratik bir örnektir. Payda hedef kitle olabilir de, kayıtlı sayısı da; ancak hangisinin kullanıldığı raporda belirtilmeli ve dönemler arasında değiştirilmemelidir. Hedef kitleye bölmek hiç kaydolmayanları da cezalandırdığı için daha zorlu, kayıtlıya bölmek ise sunum kalitesine daha duyarlı bir ölçüdür. Aynı belirsizlik “tekil katılımcı” ile “toplam katılımcı” arasında da vardır: Bütçe, maliyet ve eğitmen sayısı toplam katılımcıyla; erişim yüzdesi tekil katılımcıyla ilişkilidir. Üç kursa katılan bir çalışan bir tekil katılımcı, üç toplam katılımcıdır.</w:t>
      </w:r>
    </w:p>
    <w:p>
      <w:pPr>
        <w:pStyle w:val="Heading1"/>
        <w:keepNext/>
        <w:pageBreakBefore/>
        <w:spacing w:after="100" w:before="0"/>
      </w:pPr>
      <w:r>
        <w:rPr>
          <w:rFonts w:ascii="Calibri" w:cs="Calibri" w:eastAsia="Calibri" w:hAnsi="Calibri"/>
          <w:b/>
          <w:bCs/>
          <w:color w:val="0B5C8A"/>
          <w:sz w:val="34"/>
          <w:szCs w:val="34"/>
        </w:rPr>
        <w:t xml:space="preserve">4.3  Beceri ve Yetkinlik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30428:2021 — Eğitim maliyeti, katılım, saat, kategori katılımı ve işgücü yetkinlik oranı.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30428, ISO 30414’ün beceriler ve yetkinlikler kümesini ayrıntılandıran bir teknik şartnamedir. Belgenin mantığı basittir: İnsan sermayesine yapılan yatırım daha yetkin bir işgücü üretmeli, o da kurumun başarısına dönmelidir. Şartname beş metrik tanımlar: toplam gelişim ve eğitim maliyeti, eğitime katılan çalışan oranı, çalışan başına ortalama biçimsel eğitim saati, kategoriye göre katılım oranı ve işgücü yetkinlik oranı. Her metrik için genel tanım, açıklama, amaç, formül ve kullanım biçimi verilir; kullanım iç kullanıcılar, dış kullanıcılar ve akademik kullanıcılar için ayrı ayrı ele alınır.</w:t>
      </w:r>
    </w:p>
    <w:p>
      <w:pPr>
        <w:spacing w:after="140" w:line="288"/>
        <w:jc w:val="left"/>
      </w:pPr>
      <w:r>
        <w:rPr>
          <w:rFonts w:ascii="Calibri" w:cs="Calibri" w:eastAsia="Calibri" w:hAnsi="Calibri"/>
          <w:sz w:val="22"/>
          <w:szCs w:val="22"/>
        </w:rPr>
        <w:t xml:space="preserve">Şartnamenin kapsamı biçimsel öğrenmedir: eğitmenli sınıf, sanal eğitmenli sınıf, çevrim içi öğrenme, simülasyon, biçimsel koçluk ve biçimsel bir kursun parçası olan mobil öğrenme. Biçimsel olmayan ya da yapılandırılmamış öğrenme ileride ayrı belgelerde ele alınacaktır. Bu sınırlama önemlidir: Raporlanan rakamlar, kurumdaki toplam öğrenmenin yalnızca görünür kısmını temsil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31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ölçer?</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ISO 30414 raporlama önerisi</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gelişim ve eğitim maliyeti</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Yatırımın büyüklüğü</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kurumlar için iç ve dış raporlama</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Eğitime katılan çalışan oranı</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Ulaşılan kişi sayısı (genişlik)</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kurumlar için iç raporlama</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ortalama biçimsel eğitim saati</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Maruz kalma süresi (derinlik)</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kurumlar için iç raporlama</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Kategoriye göre katılım oranı</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Eğitimin karması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büyük kurumlar için iç raporlama</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yetkinlik oranı</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İşgücünün işi yapmaya hazırlığı</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büyük kurumlar için iç raporlama</w:t>
            </w:r>
          </w:p>
        </w:tc>
      </w:tr>
    </w:tbl>
    <w:p>
      <w:pPr>
        <w:spacing w:after="140"/>
      </w:pPr>
    </w:p>
    <w:p>
      <w:pPr>
        <w:pStyle w:val="Heading2"/>
        <w:keepNext/>
        <w:spacing w:after="110" w:before="320"/>
      </w:pPr>
      <w:r>
        <w:rPr>
          <w:rFonts w:ascii="Calibri" w:cs="Calibri" w:eastAsia="Calibri" w:hAnsi="Calibri"/>
          <w:b/>
          <w:bCs/>
          <w:sz w:val="27"/>
          <w:szCs w:val="27"/>
        </w:rPr>
        <w:t xml:space="preserve">Genişlik ve derinlik birlikte okunur</w:t>
      </w:r>
    </w:p>
    <w:p>
      <w:pPr>
        <w:spacing w:after="140" w:line="288"/>
        <w:jc w:val="left"/>
      </w:pPr>
      <w:r>
        <w:rPr>
          <w:rFonts w:ascii="Calibri" w:cs="Calibri" w:eastAsia="Calibri" w:hAnsi="Calibri"/>
          <w:sz w:val="22"/>
          <w:szCs w:val="22"/>
        </w:rPr>
        <w:t xml:space="preserve">Şartname, hiçbir tek metriğin eğitim çabasının bütününü göstermediğini tekrar tekrar belirtir. Katılım oranı, eğitimin kaç kişiye ulaştığını (genişlik); kişi başına harcama ve saat ise ne kadar ulaştığını (derinlik) gösterir. Yüksek harcama dar kapsam olabilir: Ortalamanın üstünde harcayan bir kurum, bu parayı liderlere, yöneticilere ve birkaç uzmana harcıyor, çalışanların çoğuna neredeyse hiç gelişim fırsatı sunmuyor olabilir. Katılım oranı tam olarak bunu görünür kılar.</w:t>
      </w:r>
    </w:p>
    <w:p>
      <w:pPr>
        <w:pStyle w:val="Heading2"/>
        <w:keepNext/>
        <w:spacing w:after="110" w:before="320"/>
      </w:pPr>
      <w:r>
        <w:rPr>
          <w:rFonts w:ascii="Calibri" w:cs="Calibri" w:eastAsia="Calibri" w:hAnsi="Calibri"/>
          <w:b/>
          <w:bCs/>
          <w:sz w:val="27"/>
          <w:szCs w:val="27"/>
        </w:rPr>
        <w:t xml:space="preserve">Metrik 1: Toplam gelişim ve eğitim maliyeti</w:t>
      </w:r>
    </w:p>
    <w:p>
      <w:pPr>
        <w:spacing w:after="140" w:line="288"/>
        <w:jc w:val="left"/>
      </w:pPr>
      <w:r>
        <w:rPr>
          <w:rFonts w:ascii="Calibri" w:cs="Calibri" w:eastAsia="Calibri" w:hAnsi="Calibri"/>
          <w:sz w:val="22"/>
          <w:szCs w:val="22"/>
        </w:rPr>
        <w:t xml:space="preserve">Maliyet bir girdi metriğidir, ama kurumun işgücüne yatırım kararlılığının göstergesidir; standart bazı araştırmaların bunun daha iyi finansal performansla ilişkili olduğunu belirttiğini söyler. Şartname maliyeti mümkün olan en toplulaştırılmış veriyle hesaplamayı önerir: Eğitim birimlerinin gider tabloları, programı program hesaplamaya çalışmaktan hem daha kolay hem daha doğrudur. Toplu veri yoksa program düzeyinde hesap yapılır.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38"/>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Yol</w:t>
            </w:r>
          </w:p>
        </w:tc>
        <w:tc>
          <w:tcPr>
            <w:tcW w:type="dxa" w:w="4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Toplulaştırılmış</w:t>
            </w:r>
          </w:p>
        </w:tc>
        <w:tc>
          <w:tcPr>
            <w:tcW w:type="dxa" w:w="4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birimlerinin harcaması + diğer birimlerin eğitim harcaması + sertifika ve derece programları için öğrenim desteği</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ya da birden çok eğitim birimi olan kurumlar; varsayılan yöntem</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Program düzeyinde</w:t>
            </w:r>
          </w:p>
        </w:tc>
        <w:tc>
          <w:tcPr>
            <w:tcW w:type="dxa" w:w="4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(Personel zamanı × tam yüklü saat ücreti) + diğer doğrudan program maliyetleri (oda kirası, malzeme, tedarikçi, danışman, personel seyahati)</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veri bulunmayan küçük kurumlar</w:t>
            </w:r>
          </w:p>
        </w:tc>
      </w:tr>
    </w:tbl>
    <w:p>
      <w:pPr>
        <w:spacing w:after="140"/>
      </w:pPr>
    </w:p>
    <w:p>
      <w:pPr>
        <w:spacing w:after="140" w:line="288"/>
        <w:jc w:val="left"/>
      </w:pPr>
      <w:r>
        <w:rPr>
          <w:rFonts w:ascii="Calibri" w:cs="Calibri" w:eastAsia="Calibri" w:hAnsi="Calibri"/>
          <w:sz w:val="22"/>
          <w:szCs w:val="22"/>
        </w:rPr>
        <w:t xml:space="preserve">Tam yüklü saat ücreti, ücret ve bağlı maliyet oranı ile yük (genel gider) oranının toplamıdır. Yük oranı, bölüm giderinden ücret ve doğrudan maliyetler düşülerek bulunur ve yılda fiilen çalışılan saat sayısına bölünür; izin, tatil, hastalık ve toplantı süreleri hesaba katıldığı için yük oranı çoğu zaman ücret oranı kadar ya da ondan yüksek çıkar.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Program düzeyinde maliyet (kurgusal)</w:t>
            </w:r>
          </w:p>
          <w:p>
            <w:pPr>
              <w:spacing w:after="0" w:line="276"/>
            </w:pPr>
            <w:r>
              <w:rPr>
                <w:rFonts w:ascii="Calibri" w:cs="Calibri" w:eastAsia="Calibri" w:hAnsi="Calibri"/>
                <w:sz w:val="21"/>
                <w:szCs w:val="21"/>
              </w:rPr>
              <w:t xml:space="preserve">Anadolu Örnek A.Ş.’de bir iç eğitimcinin ücret ve bağlı maliyet oranı saatte 250 TL, yük oranı 150 TL olsun. Tam yüklü saat ücreti = 250 + 150 = 400 TL. Eğitimcinin programa 40 saat ayırdığı varsayılırsa personel maliyeti = 40 × 400 = 16.000 TL. Salon, malzeme ve dış tedarikçi gibi doğrudan maliyetler 24.000 TL ise program maliyeti = 16.000 + 24.000 = 40.000 TL.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Kapsama girer</w:t>
            </w:r>
          </w:p>
        </w:tc>
        <w:tc>
          <w:tcPr>
            <w:tcW w:type="dxa" w:w="4819"/>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Kapsama girmez</w:t>
            </w:r>
          </w:p>
        </w:tc>
      </w:tr>
      <w:tr>
        <w:trPr>
          <w:cantSplit/>
        </w:trPr>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Eğitim personelinin ücret ve yan hakları</w:t>
            </w:r>
          </w:p>
        </w:tc>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Başka kurumların düzenlediği konferanslara yapılan harcama</w:t>
            </w:r>
          </w:p>
        </w:tc>
      </w:tr>
      <w:tr>
        <w:trPr>
          <w:cantSplit/>
        </w:trPr>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Genel giderler (sarf malzemesi vb.)</w:t>
            </w:r>
          </w:p>
        </w:tc>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birimi dışındaki çalışanın eğitime katılmak için yaptığı seyahat harcaması</w:t>
            </w:r>
          </w:p>
        </w:tc>
      </w:tr>
      <w:tr>
        <w:trPr>
          <w:cantSplit/>
        </w:trPr>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Doğrudan maliyetler (oda kirası, malzeme, personel seyahati)</w:t>
            </w:r>
          </w:p>
        </w:tc>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Katılımcıların eğitimde geçirdiği zamanın değeri (fırsat maliyeti)</w:t>
            </w:r>
          </w:p>
        </w:tc>
      </w:tr>
      <w:tr>
        <w:trPr>
          <w:cantSplit/>
        </w:trPr>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tedarikçiler (geliştirici, eğitmen, LMS sağlayıcısı)</w:t>
            </w:r>
          </w:p>
        </w:tc>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Sözleşmeli ve geçici işçilere ajansları tarafından verilen eğitim</w:t>
            </w:r>
          </w:p>
        </w:tc>
      </w:tr>
      <w:tr>
        <w:trPr>
          <w:cantSplit/>
        </w:trPr>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Sertifika ve derece için öğrenim desteği; kurumun sözleşmeli ve geçici işçilere kendi verdiği eğitim</w:t>
            </w:r>
          </w:p>
        </w:tc>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r>
    </w:tbl>
    <w:p>
      <w:pPr>
        <w:spacing w:after="140"/>
      </w:pPr>
    </w:p>
    <w:p>
      <w:pPr>
        <w:spacing w:after="140" w:line="288"/>
        <w:jc w:val="left"/>
      </w:pPr>
      <w:r>
        <w:rPr>
          <w:rFonts w:ascii="Calibri" w:cs="Calibri" w:eastAsia="Calibri" w:hAnsi="Calibri"/>
          <w:sz w:val="22"/>
          <w:szCs w:val="22"/>
        </w:rPr>
        <w:t xml:space="preserve">Şartnamenin dikkat çekici bir kararı, fırsat maliyetini kapsam dışı bırakmasıdır. Katılımcıların eğitimde geçirdiği zamanın değeri maliyete eklenmediği için toplam maliyet, işin gerçek maliyetini olduğundan düşük gösterir; standart, fırsat maliyetinin eklenmesinin daha doğru bir ölçü üreteceğini kabul eder. Başkaları bunu dahil eden tanımlar kullandığından, kıyaslama yaparken karşı tarafın tanımını öğrenmek gerekir.</w:t>
      </w:r>
    </w:p>
    <w:p>
      <w:pPr>
        <w:spacing w:after="140" w:line="288"/>
        <w:jc w:val="left"/>
      </w:pPr>
      <w:r>
        <w:rPr>
          <w:rFonts w:ascii="Calibri" w:cs="Calibri" w:eastAsia="Calibri" w:hAnsi="Calibri"/>
          <w:sz w:val="22"/>
          <w:szCs w:val="22"/>
        </w:rPr>
        <w:t xml:space="preserve">Maliyet, dört yaygın oranla anlam kazanır: çalışan başına maliyet, öğrenen başına maliyet, bordroya oranı ve gelire oranı. Toplam maliyetin kendisi yatırımın büyüklüğünü, oranlar ise onu kurumun ölçeğine göre konumlandırır.</w:t>
      </w:r>
    </w:p>
    <w:p>
      <w:pPr>
        <w:pStyle w:val="Heading2"/>
        <w:keepNext/>
        <w:spacing w:after="110" w:before="320"/>
      </w:pPr>
      <w:r>
        <w:rPr>
          <w:rFonts w:ascii="Calibri" w:cs="Calibri" w:eastAsia="Calibri" w:hAnsi="Calibri"/>
          <w:b/>
          <w:bCs/>
          <w:sz w:val="27"/>
          <w:szCs w:val="27"/>
        </w:rPr>
        <w:t xml:space="preserve">Metrik 2 ve 3: Katılım oranı ve ortalama eğitim saati</w:t>
      </w:r>
    </w:p>
    <w:p>
      <w:pPr>
        <w:spacing w:after="140" w:line="288"/>
        <w:jc w:val="left"/>
      </w:pPr>
      <w:r>
        <w:rPr>
          <w:rFonts w:ascii="Calibri" w:cs="Calibri" w:eastAsia="Calibri" w:hAnsi="Calibri"/>
          <w:sz w:val="22"/>
          <w:szCs w:val="22"/>
        </w:rPr>
        <w:t xml:space="preserve">Katılım oranı, tanımlı dönemde en az bir kez biçimsel eğitime katılan tekil çalışanın toplam çalışan sayısına oranıdır. Ortalama eğitim saati ise toplam biçimsel eğitim saatinin çalışan sayısına bölünmesidir. Şartnamenin kendi yayımlanmış metninde iki ince nokta vardır: Giriş bölümü ortalama saati tam zaman eşdeğeri (FTE) başına tanımlarken ilgili madde formülü çalışan sayısına böler; ve payda seçimi sonucu değiştirir. FTE kişi sayısından küçük olduğu için daha yüksek bir ortalama üretir; geçici işgücü paydaya girdiğinde ise ortalama düşer. Seçim bir kez yapılmalı, yazılmalı ve dönemler boyunca korunmalıdır.</w:t>
      </w:r>
    </w:p>
    <w:p>
      <w:pPr>
        <w:pStyle w:val="Heading2"/>
        <w:keepNext/>
        <w:spacing w:after="110" w:before="320"/>
      </w:pPr>
      <w:r>
        <w:rPr>
          <w:rFonts w:ascii="Calibri" w:cs="Calibri" w:eastAsia="Calibri" w:hAnsi="Calibri"/>
          <w:b/>
          <w:bCs/>
          <w:sz w:val="27"/>
          <w:szCs w:val="27"/>
        </w:rPr>
        <w:t xml:space="preserve">Metrik 4: Kategoriye göre katılım</w:t>
      </w:r>
    </w:p>
    <w:p>
      <w:pPr>
        <w:spacing w:after="140" w:line="288"/>
        <w:jc w:val="left"/>
      </w:pPr>
      <w:r>
        <w:rPr>
          <w:rFonts w:ascii="Calibri" w:cs="Calibri" w:eastAsia="Calibri" w:hAnsi="Calibri"/>
          <w:sz w:val="22"/>
          <w:szCs w:val="22"/>
        </w:rPr>
        <w:t xml:space="preserve">Kategoriye göre katılım oranı, eğitimin karmasını görünür kılar: uyum, liderlik, temel beceriler, sosyal beceriler, meslekler, sektöre özgü eğitimler, genel kültür. Tek bir doğru kategori listesi yoktur; birçok çalışanın kullandığı ve üst yönetimin ilgilendiği alanlar seçilir. Bu metriğin en önemli kuralı, uyum eğitimini ayırmaktır. Mevzuat gerektiren eğitimler (iş sağlığı ve güvenliği, veri koruma, etik) genellikle neredeyse herkese verilir ve manşet katılım oranını şişirir. Şartnamenin kendi örneğinde çalışanların %95’i eğitime katılmış görünürken, uyum eğitimleri ayrıldığında rakam %45’e iner. Kurumun öğrenme stratejisi “her çalışanın uyum dışında da öğrenme fırsatı olsun” ise, izlenecek asıl sayı ikincisidir.</w:t>
      </w:r>
    </w:p>
    <w:p>
      <w:pPr>
        <w:pStyle w:val="Heading3"/>
        <w:keepNext/>
        <w:spacing w:after="80" w:before="220"/>
      </w:pPr>
      <w:r>
        <w:rPr>
          <w:rFonts w:ascii="Calibri" w:cs="Calibri" w:eastAsia="Calibri" w:hAnsi="Calibri"/>
          <w:b/>
          <w:bCs/>
          <w:color w:val="0B5C8A"/>
          <w:sz w:val="23"/>
          <w:szCs w:val="23"/>
        </w:rPr>
        <w:t xml:space="preserve">Kurgusal örnek: Katılım ve maliyet tablosu</w:t>
      </w:r>
    </w:p>
    <w:p>
      <w:pPr>
        <w:spacing w:after="140" w:line="288"/>
        <w:jc w:val="left"/>
      </w:pPr>
      <w:r>
        <w:rPr>
          <w:rFonts w:ascii="Calibri" w:cs="Calibri" w:eastAsia="Calibri" w:hAnsi="Calibri"/>
          <w:sz w:val="22"/>
          <w:szCs w:val="22"/>
        </w:rPr>
        <w:t xml:space="preserve">Anadolu Örnek A.Ş. kurgusal şirketinin 1.000 çalışanı vardır. Yıllık eğitim verisi dört kategoride tutulmaktadır.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00"/>
        <w:gridCol w:w="1500"/>
        <w:gridCol w:w="1600"/>
        <w:gridCol w:w="15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Kategori</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Hedef kitle</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Katılan</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Katılım (%)</w:t>
            </w:r>
          </w:p>
        </w:tc>
        <w:tc>
          <w:tcPr>
            <w:tcW w:type="dxa" w:w="1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Eğitim saati</w:t>
            </w:r>
          </w:p>
        </w:tc>
        <w:tc>
          <w:tcPr>
            <w:tcW w:type="dxa" w:w="1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Maliyet (TL)</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930</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93,0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3.720</w:t>
            </w:r>
          </w:p>
        </w:tc>
        <w:tc>
          <w:tcPr>
            <w:tcW w:type="dxa" w:w="1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186.000</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70,0</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2.016</w:t>
            </w:r>
          </w:p>
        </w:tc>
        <w:tc>
          <w:tcPr>
            <w:tcW w:type="dxa" w:w="1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504.000</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Mesleki / teknik</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600</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390</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9.360</w:t>
            </w:r>
          </w:p>
        </w:tc>
        <w:tc>
          <w:tcPr>
            <w:tcW w:type="dxa" w:w="1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1.170.000</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Sosyal beceriler</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240</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1.920</w:t>
            </w:r>
          </w:p>
        </w:tc>
        <w:tc>
          <w:tcPr>
            <w:tcW w:type="dxa" w:w="1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192.000</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1.644*</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17.016</w:t>
            </w:r>
          </w:p>
        </w:tc>
        <w:tc>
          <w:tcPr>
            <w:tcW w:type="dxa" w:w="1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w:t>
            </w:r>
          </w:p>
        </w:tc>
      </w:tr>
    </w:tbl>
    <w:p>
      <w:pPr>
        <w:spacing w:after="140"/>
      </w:pPr>
    </w:p>
    <w:p>
      <w:pPr>
        <w:spacing w:after="140" w:line="288"/>
        <w:jc w:val="left"/>
      </w:pPr>
      <w:r>
        <w:rPr>
          <w:rFonts w:ascii="Calibri" w:cs="Calibri" w:eastAsia="Calibri" w:hAnsi="Calibri"/>
          <w:sz w:val="22"/>
          <w:szCs w:val="22"/>
        </w:rPr>
        <w:t xml:space="preserve">* Kategori katılımları toplanıp “toplam katılım” olarak sunulamaz; aynı kişi birden çok kategoride sayılır. Genel katılım için tekil kişi sayısı gerekir: Aynı yılda en az bir eğitime katılan tekil çalışan 965 kişidir. Uyum dışı eğitime katılan tekil çalışan ise 520 kişidir.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500"/>
        <w:gridCol w:w="22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Manşet katılım oranı</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965 ÷ 1.000</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%96,5</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Uyum dışı katılım oranı</w:t>
            </w:r>
          </w:p>
        </w:tc>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520 ÷ 1.000</w:t>
            </w:r>
          </w:p>
        </w:tc>
        <w:tc>
          <w:tcPr>
            <w:tcW w:type="dxa" w:w="2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%52,0</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ortalama eğitim saati</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17.016 ÷ 1.000</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 saat</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maliyet</w:t>
            </w:r>
          </w:p>
        </w:tc>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1.000</w:t>
            </w:r>
          </w:p>
        </w:tc>
        <w:tc>
          <w:tcPr>
            <w:tcW w:type="dxa" w:w="2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 TL</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Öğrenen başına maliyet</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965</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2.126 TL</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Bordroya oranı (bordro 300 milyon TL varsayımıyla)</w:t>
            </w:r>
          </w:p>
        </w:tc>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300.000.000</w:t>
            </w:r>
          </w:p>
        </w:tc>
        <w:tc>
          <w:tcPr>
            <w:tcW w:type="dxa" w:w="2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%0,68</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Gelire oranı (gelir 1,5 milyar TL varsayımıyla)</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1.500.000.000</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%0,14</w:t>
            </w:r>
          </w:p>
        </w:tc>
      </w:tr>
    </w:tbl>
    <w:p>
      <w:pPr>
        <w:spacing w:after="140"/>
      </w:pPr>
    </w:p>
    <w:p>
      <w:pPr>
        <w:spacing w:after="140" w:line="288"/>
        <w:jc w:val="left"/>
      </w:pPr>
      <w:r>
        <w:rPr>
          <w:rFonts w:ascii="Calibri" w:cs="Calibri" w:eastAsia="Calibri" w:hAnsi="Calibri"/>
          <w:sz w:val="22"/>
          <w:szCs w:val="22"/>
        </w:rPr>
        <w:t xml:space="preserve">Tablo bir hikâye anlatır. Manşet %96,5 ile mükemmel görünürken, uyum dışı katılım %52’dir; yani yarıya yakın çalışan uyum dışında hiçbir öğrenme fırsatı yaşamamıştır. Sosyal beceriler kategorisinde katılım yalnızca %30’dur; liderlik kategorisinde ise kişi başı harcama (6.000 TL) mesleki eğitimin (3.000 TL) iki katıdır. Bu kurgusal örnek, aynı kurumda “yatırım var, ama yatırımın dağılımı eşitsizdir” sonucunu çıkarmaya izin verir; bu sonucun doğru olup olmadığı ise kurumun stratejisine bağlıdır.</w:t>
      </w:r>
    </w:p>
    <w:p>
      <w:pPr>
        <w:pStyle w:val="Heading2"/>
        <w:keepNext/>
        <w:spacing w:after="110" w:before="320"/>
      </w:pPr>
      <w:r>
        <w:rPr>
          <w:rFonts w:ascii="Calibri" w:cs="Calibri" w:eastAsia="Calibri" w:hAnsi="Calibri"/>
          <w:b/>
          <w:bCs/>
          <w:sz w:val="27"/>
          <w:szCs w:val="27"/>
        </w:rPr>
        <w:t xml:space="preserve">Metrik 5: İşgücü yetkinlik oranı</w:t>
      </w:r>
    </w:p>
    <w:p>
      <w:pPr>
        <w:spacing w:after="140" w:line="288"/>
        <w:jc w:val="left"/>
      </w:pPr>
      <w:r>
        <w:rPr>
          <w:rFonts w:ascii="Calibri" w:cs="Calibri" w:eastAsia="Calibri" w:hAnsi="Calibri"/>
          <w:sz w:val="22"/>
          <w:szCs w:val="22"/>
        </w:rPr>
        <w:t xml:space="preserve">İşgücü yetkinlik oranı, işgücünün işi yapmaya hazır olup olmadığını gösterir. Şartname bunu en az beş düzeyli bir ölçekle ölçer ve grupların kişi sayısıyla ağırlıklı ortalamasını alarak bölüm, meslek ya da kurum düzeyine çıkarır. Yöntem ve ölçek kurumun tercihidir, ancak sonuç paylaşılırken açıklanmalıdır. Metrik, açığın büyüklüğünü ve eğitecek ya da mentorluk yapacak yeterli sayıda ileri düzey çalışan bulunup bulunmadığını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Yetkinlik oranı formülü</w:t>
            </w:r>
          </w:p>
          <w:p>
            <w:pPr>
              <w:spacing w:after="0" w:line="276"/>
            </w:pPr>
            <w:r>
              <w:rPr>
                <w:rFonts w:ascii="Calibri" w:cs="Calibri" w:eastAsia="Calibri" w:hAnsi="Calibri"/>
                <w:sz w:val="21"/>
                <w:szCs w:val="21"/>
              </w:rPr>
              <w:t xml:space="preserve">Yetkinlik oranı = Σ (grup çalışan sayısı × grup ortalama yetkinlik puanı) ÷ Σ grup çalışan sayısı. Kurgusal örnek (1–5 ölçeği): Üretim 600 kişi, ortalama 3,2; Satış 250 kişi, 3,6; Destek 150 kişi, 2,9. Oran = (600 × 3,2 + 250 × 3,6 + 150 × 2,9) ÷ 1.000 = (1.920 + 900 + 435) ÷ 1.000 = 3,255.</w:t>
            </w:r>
          </w:p>
        </w:tc>
      </w:tr>
    </w:tbl>
    <w:p>
      <w:pPr>
        <w:spacing w:after="120"/>
      </w:pPr>
    </w:p>
    <w:p>
      <w:pPr>
        <w:spacing w:after="140" w:line="288"/>
        <w:jc w:val="left"/>
      </w:pPr>
      <w:r>
        <w:rPr>
          <w:rFonts w:ascii="Calibri" w:cs="Calibri" w:eastAsia="Calibri" w:hAnsi="Calibri"/>
          <w:sz w:val="22"/>
          <w:szCs w:val="22"/>
        </w:rPr>
        <w:t xml:space="preserve">Yetkinlik oranı 3 civarındaysa işgücü, işini yapmaya ortalamada yetkin sayılır. Asıl bilgi dağılımdadır: Şartnamenin kendi örneğinde 15 kişilik bir bölümde 8 kişi hedef düzeyin altındadır ve tek bir 5. düzey çalışanın hepsine mentorluk yapması mümkün değildir. Yukarıdaki kurgusal örnekte de destek biriminin 2,9 ortalaması eşiğin altındadır; bu birimdeki dağılıma bakmadan genel 3,26 sayısına güvenmek yanıltıcı olurdu.</w:t>
      </w:r>
    </w:p>
    <w:p>
      <w:pPr>
        <w:spacing w:after="140" w:line="288"/>
        <w:jc w:val="left"/>
      </w:pPr>
      <w:r>
        <w:rPr>
          <w:rFonts w:ascii="Calibri" w:cs="Calibri" w:eastAsia="Calibri" w:hAnsi="Calibri"/>
          <w:sz w:val="22"/>
          <w:szCs w:val="22"/>
        </w:rPr>
        <w:t xml:space="preserve">Şartnamenin mantığı zincirlemedir: Düşük yetkinlik oranı daha yüksek toplam eğitim maliyetini, daha yüksek katılım oranını ve daha çok eğitim saatini gerektirir. Bu nedenle bir kurum için “doğru” harcama düzeyi yoktur; hedeflerin zorluğu ve işgücünün mevcut yetkinlik düzeyi birlikte belirler. Kıyas ölçütünün altında kalmak “daha çok harcamalı”, üstünde olmak da “bütçeyi kısmalı” demek değildir.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Saat ile harcamayı birlikte okuyun.</w:t>
      </w:r>
      <w:r>
        <w:rPr>
          <w:rFonts w:ascii="Calibri" w:cs="Calibri" w:eastAsia="Calibri" w:hAnsi="Calibri"/>
          <w:sz w:val="22"/>
          <w:szCs w:val="22"/>
        </w:rPr>
        <w:t xml:space="preserve"> Daha az saat eğitim veren bir kurum, eğitimi daha nitelikli olduğu için kişi başına daha çok harcıyor olabilir.</w:t>
      </w:r>
    </w:p>
    <w:p>
      <w:pPr>
        <w:pStyle w:val="ListParagraph"/>
        <w:numPr>
          <w:ilvl w:val="0"/>
          <w:numId w:val="2"/>
        </w:numPr>
        <w:spacing w:after="80" w:line="280"/>
      </w:pPr>
      <w:r>
        <w:rPr>
          <w:rFonts w:ascii="Calibri" w:cs="Calibri" w:eastAsia="Calibri" w:hAnsi="Calibri"/>
          <w:b/>
          <w:bCs/>
          <w:sz w:val="22"/>
          <w:szCs w:val="22"/>
        </w:rPr>
        <w:t xml:space="preserve">Kıdemle eğitim saati ters orantılıdır.</w:t>
      </w:r>
      <w:r>
        <w:rPr>
          <w:rFonts w:ascii="Calibri" w:cs="Calibri" w:eastAsia="Calibri" w:hAnsi="Calibri"/>
          <w:sz w:val="22"/>
          <w:szCs w:val="22"/>
        </w:rPr>
        <w:t xml:space="preserve"> Şartnamenin örneğinde bir yıldan az kıdemli çalışanlar kişi başına 180 saat, on yıl ve üzeri kıdemliler 17 saat eğitim alır; bu beklenen bir örüntüdür. Yönetim ile yönetim dışı arasındaki fark ise bilinçli bir tercih mi diye sorulmalıdır.</w:t>
      </w:r>
    </w:p>
    <w:p>
      <w:pPr>
        <w:pStyle w:val="ListParagraph"/>
        <w:numPr>
          <w:ilvl w:val="0"/>
          <w:numId w:val="2"/>
        </w:numPr>
        <w:spacing w:after="80" w:line="280"/>
      </w:pPr>
      <w:r>
        <w:rPr>
          <w:rFonts w:ascii="Calibri" w:cs="Calibri" w:eastAsia="Calibri" w:hAnsi="Calibri"/>
          <w:b/>
          <w:bCs/>
          <w:sz w:val="22"/>
          <w:szCs w:val="22"/>
        </w:rPr>
        <w:t xml:space="preserve">Kategori oranlarını toplamayın.</w:t>
      </w:r>
    </w:p>
    <w:p>
      <w:pPr>
        <w:pStyle w:val="ListParagraph"/>
        <w:numPr>
          <w:ilvl w:val="0"/>
          <w:numId w:val="2"/>
        </w:numPr>
        <w:spacing w:after="80" w:line="280"/>
      </w:pPr>
      <w:r>
        <w:rPr>
          <w:rFonts w:ascii="Calibri" w:cs="Calibri" w:eastAsia="Calibri" w:hAnsi="Calibri"/>
          <w:b/>
          <w:bCs/>
          <w:sz w:val="22"/>
          <w:szCs w:val="22"/>
        </w:rPr>
        <w:t xml:space="preserve">Sonucu bağlamla paylaşın.</w:t>
      </w:r>
      <w:r>
        <w:rPr>
          <w:rFonts w:ascii="Calibri" w:cs="Calibri" w:eastAsia="Calibri" w:hAnsi="Calibri"/>
          <w:sz w:val="22"/>
          <w:szCs w:val="22"/>
        </w:rPr>
        <w:t xml:space="preserve"> Hedeflerin zorluğu, işgücünün yetkinlik düzeyi ve eğitimden beklenen etki sayıyla birlikte anlatılmalıdır.</w:t>
      </w:r>
    </w:p>
    <w:p>
      <w:pPr>
        <w:spacing w:after="140" w:line="288"/>
        <w:jc w:val="left"/>
      </w:pPr>
      <w:r>
        <w:rPr>
          <w:rFonts w:ascii="Calibri" w:cs="Calibri" w:eastAsia="Calibri" w:hAnsi="Calibri"/>
          <w:sz w:val="22"/>
          <w:szCs w:val="22"/>
        </w:rPr>
        <w:t xml:space="preserve">Şartnamenin yayımlanmış metni birkaç tutarsızlık içerir ve bunlar bilinmelidir: İki kurumu karşılaştıran örnekte ikinci kurumun toplam maliyeti 200.000 olarak verilir, ancak kişi başı harcama satırı 100.000 ÷ 50 = 4.000 biçiminde yazılmıştır; doğru işlem 200.000 ÷ 50’dir. Katılım tablolarında uyum eğitimine katılan sayı bir yerde 930, başka bir yerde 870 verilir. Bu nedenle şartnameden alınan örnek sayılar yalnızca mekanizmayı göstermek için kullanılmalı, kendi içinde tutarlı sayı kümeleri tercih edilmelidir.</w:t>
      </w:r>
    </w:p>
    <w:p>
      <w:pPr>
        <w:spacing w:after="140" w:line="288"/>
        <w:jc w:val="left"/>
      </w:pPr>
      <w:r>
        <w:rPr>
          <w:rFonts w:ascii="Calibri" w:cs="Calibri" w:eastAsia="Calibri" w:hAnsi="Calibri"/>
          <w:sz w:val="22"/>
          <w:szCs w:val="22"/>
        </w:rPr>
        <w:t xml:space="preserve">Kategori metriği dış raporlama için tasarlanmamıştır; kategori listesi kuruma özgü olduğundan kurumlar arası kıyaslama anlamlı değildir. Yetkinlik puanı öznel olabilir: Çalışan ya da yöneticinin görüşüne dayanan puanlama, nesnel bir araçla (ISO 10667’ye uygun bir değerlendirme) üretilen puanla aynı şey değildir. Maliyet, tüm kurumlar için iç ve dış raporlamada yer alabilir; diğer metrikler genellikle iç raporlama içindir.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5"/>
        </w:numPr>
        <w:spacing w:after="80" w:line="280"/>
      </w:pPr>
      <w:r>
        <w:rPr>
          <w:rFonts w:ascii="Calibri" w:cs="Calibri" w:eastAsia="Calibri" w:hAnsi="Calibri"/>
          <w:sz w:val="22"/>
          <w:szCs w:val="22"/>
        </w:rPr>
        <w:t xml:space="preserve">Maliyet tanımını sabitleyin: fırsat maliyeti dahil mi? Kıyaslama yaparken karşı tarafın tanımını da öğrenin.</w:t>
      </w:r>
    </w:p>
    <w:p>
      <w:pPr>
        <w:pStyle w:val="ListParagraph"/>
        <w:numPr>
          <w:ilvl w:val="0"/>
          <w:numId w:val="5"/>
        </w:numPr>
        <w:spacing w:after="80" w:line="280"/>
      </w:pPr>
      <w:r>
        <w:rPr>
          <w:rFonts w:ascii="Calibri" w:cs="Calibri" w:eastAsia="Calibri" w:hAnsi="Calibri"/>
          <w:sz w:val="22"/>
          <w:szCs w:val="22"/>
        </w:rPr>
        <w:t xml:space="preserve">Paydaya karar verin: çalışan sayısı, öğrenen sayısı, FTE ya da geçici işgücü dahil toplam işgücü; tercih dönemler boyunca korunur.</w:t>
      </w:r>
    </w:p>
    <w:p>
      <w:pPr>
        <w:pStyle w:val="ListParagraph"/>
        <w:numPr>
          <w:ilvl w:val="0"/>
          <w:numId w:val="5"/>
        </w:numPr>
        <w:spacing w:after="80" w:line="280"/>
      </w:pPr>
      <w:r>
        <w:rPr>
          <w:rFonts w:ascii="Calibri" w:cs="Calibri" w:eastAsia="Calibri" w:hAnsi="Calibri"/>
          <w:sz w:val="22"/>
          <w:szCs w:val="22"/>
        </w:rPr>
        <w:t xml:space="preserve">Biçimsel eğitimi tanımlayın.</w:t>
      </w:r>
    </w:p>
    <w:p>
      <w:pPr>
        <w:pStyle w:val="ListParagraph"/>
        <w:numPr>
          <w:ilvl w:val="0"/>
          <w:numId w:val="5"/>
        </w:numPr>
        <w:spacing w:after="80" w:line="280"/>
      </w:pPr>
      <w:r>
        <w:rPr>
          <w:rFonts w:ascii="Calibri" w:cs="Calibri" w:eastAsia="Calibri" w:hAnsi="Calibri"/>
          <w:sz w:val="22"/>
          <w:szCs w:val="22"/>
        </w:rPr>
        <w:t xml:space="preserve">Uyum ve uyum dışı ayrımını kurun.</w:t>
      </w:r>
    </w:p>
    <w:p>
      <w:pPr>
        <w:pStyle w:val="ListParagraph"/>
        <w:numPr>
          <w:ilvl w:val="0"/>
          <w:numId w:val="5"/>
        </w:numPr>
        <w:spacing w:after="80" w:line="280"/>
      </w:pPr>
      <w:r>
        <w:rPr>
          <w:rFonts w:ascii="Calibri" w:cs="Calibri" w:eastAsia="Calibri" w:hAnsi="Calibri"/>
          <w:sz w:val="22"/>
          <w:szCs w:val="22"/>
        </w:rPr>
        <w:t xml:space="preserve">Kendi kategori listenizi yazın.</w:t>
      </w:r>
    </w:p>
    <w:p>
      <w:pPr>
        <w:pStyle w:val="ListParagraph"/>
        <w:numPr>
          <w:ilvl w:val="0"/>
          <w:numId w:val="5"/>
        </w:numPr>
        <w:spacing w:after="80" w:line="280"/>
      </w:pPr>
      <w:r>
        <w:rPr>
          <w:rFonts w:ascii="Calibri" w:cs="Calibri" w:eastAsia="Calibri" w:hAnsi="Calibri"/>
          <w:sz w:val="22"/>
          <w:szCs w:val="22"/>
        </w:rPr>
        <w:t xml:space="preserve">Yetkinlik ölçeğini oluşturun: işin gerekleri, en az beş düzeyli ölçek, nesnel araç ya da yönetici görüşü.</w:t>
      </w:r>
    </w:p>
    <w:p>
      <w:pPr>
        <w:pStyle w:val="ListParagraph"/>
        <w:numPr>
          <w:ilvl w:val="0"/>
          <w:numId w:val="5"/>
        </w:numPr>
        <w:spacing w:after="80" w:line="280"/>
      </w:pPr>
      <w:r>
        <w:rPr>
          <w:rFonts w:ascii="Calibri" w:cs="Calibri" w:eastAsia="Calibri" w:hAnsi="Calibri"/>
          <w:sz w:val="22"/>
          <w:szCs w:val="22"/>
        </w:rPr>
        <w:t xml:space="preserve">Kırılımları seçin: birim, bölge, yönetim/yönetim dışı, kıdem.</w:t>
      </w:r>
    </w:p>
    <w:p>
      <w:pPr>
        <w:pStyle w:val="ListParagraph"/>
        <w:numPr>
          <w:ilvl w:val="0"/>
          <w:numId w:val="5"/>
        </w:numPr>
        <w:spacing w:after="80" w:line="280"/>
      </w:pPr>
      <w:r>
        <w:rPr>
          <w:rFonts w:ascii="Calibri" w:cs="Calibri" w:eastAsia="Calibri" w:hAnsi="Calibri"/>
          <w:sz w:val="22"/>
          <w:szCs w:val="22"/>
        </w:rPr>
        <w:t xml:space="preserve">Hedef koyun ve yıl boyunca izleyin.</w:t>
      </w:r>
    </w:p>
    <w:p>
      <w:pPr>
        <w:pStyle w:val="ListParagraph"/>
        <w:numPr>
          <w:ilvl w:val="0"/>
          <w:numId w:val="5"/>
        </w:numPr>
        <w:spacing w:after="80" w:line="280"/>
      </w:pPr>
      <w:r>
        <w:rPr>
          <w:rFonts w:ascii="Calibri" w:cs="Calibri" w:eastAsia="Calibri" w:hAnsi="Calibri"/>
          <w:sz w:val="22"/>
          <w:szCs w:val="22"/>
        </w:rPr>
        <w:t xml:space="preserve">Bağlamı sayının yanına yazın.</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Kategori katılımlarını toplamak.</w:t>
      </w:r>
      <w:r>
        <w:rPr>
          <w:rFonts w:ascii="Calibri" w:cs="Calibri" w:eastAsia="Calibri" w:hAnsi="Calibri"/>
          <w:sz w:val="22"/>
          <w:szCs w:val="22"/>
        </w:rPr>
        <w:t xml:space="preserve"> Aynı kişi birden çok kategoride sayılır.</w:t>
      </w:r>
    </w:p>
    <w:p>
      <w:pPr>
        <w:pStyle w:val="ListParagraph"/>
        <w:numPr>
          <w:ilvl w:val="0"/>
          <w:numId w:val="2"/>
        </w:numPr>
        <w:spacing w:after="80" w:line="280"/>
      </w:pPr>
      <w:r>
        <w:rPr>
          <w:rFonts w:ascii="Calibri" w:cs="Calibri" w:eastAsia="Calibri" w:hAnsi="Calibri"/>
          <w:b/>
          <w:bCs/>
          <w:sz w:val="22"/>
          <w:szCs w:val="22"/>
        </w:rPr>
        <w:t xml:space="preserve">Uyum eğitimini ayırmamak.</w:t>
      </w:r>
      <w:r>
        <w:rPr>
          <w:rFonts w:ascii="Calibri" w:cs="Calibri" w:eastAsia="Calibri" w:hAnsi="Calibri"/>
          <w:sz w:val="22"/>
          <w:szCs w:val="22"/>
        </w:rPr>
        <w:t xml:space="preserve"> Manşet oran gerçeği gizler.</w:t>
      </w:r>
    </w:p>
    <w:p>
      <w:pPr>
        <w:pStyle w:val="ListParagraph"/>
        <w:numPr>
          <w:ilvl w:val="0"/>
          <w:numId w:val="2"/>
        </w:numPr>
        <w:spacing w:after="80" w:line="280"/>
      </w:pPr>
      <w:r>
        <w:rPr>
          <w:rFonts w:ascii="Calibri" w:cs="Calibri" w:eastAsia="Calibri" w:hAnsi="Calibri"/>
          <w:b/>
          <w:bCs/>
          <w:sz w:val="22"/>
          <w:szCs w:val="22"/>
        </w:rPr>
        <w:t xml:space="preserve">Maliyet kapsamını yazmamak.</w:t>
      </w:r>
      <w:r>
        <w:rPr>
          <w:rFonts w:ascii="Calibri" w:cs="Calibri" w:eastAsia="Calibri" w:hAnsi="Calibri"/>
          <w:sz w:val="22"/>
          <w:szCs w:val="22"/>
        </w:rPr>
        <w:t xml:space="preserve"> Fırsat maliyetinin dahil olup olmadığı raporda belirtilmelidir.</w:t>
      </w:r>
    </w:p>
    <w:p>
      <w:pPr>
        <w:pStyle w:val="ListParagraph"/>
        <w:numPr>
          <w:ilvl w:val="0"/>
          <w:numId w:val="2"/>
        </w:numPr>
        <w:spacing w:after="80" w:line="280"/>
      </w:pPr>
      <w:r>
        <w:rPr>
          <w:rFonts w:ascii="Calibri" w:cs="Calibri" w:eastAsia="Calibri" w:hAnsi="Calibri"/>
          <w:b/>
          <w:bCs/>
          <w:sz w:val="22"/>
          <w:szCs w:val="22"/>
        </w:rPr>
        <w:t xml:space="preserve">Yetkinlik oranını tek rakam olarak sunmak.</w:t>
      </w:r>
      <w:r>
        <w:rPr>
          <w:rFonts w:ascii="Calibri" w:cs="Calibri" w:eastAsia="Calibri" w:hAnsi="Calibri"/>
          <w:sz w:val="22"/>
          <w:szCs w:val="22"/>
        </w:rPr>
        <w:t xml:space="preserve"> Dağılım, ortalamadan daha önemlidir.</w:t>
      </w:r>
    </w:p>
    <w:p>
      <w:pPr>
        <w:pStyle w:val="ListParagraph"/>
        <w:numPr>
          <w:ilvl w:val="0"/>
          <w:numId w:val="2"/>
        </w:numPr>
        <w:spacing w:after="80" w:line="280"/>
      </w:pPr>
      <w:r>
        <w:rPr>
          <w:rFonts w:ascii="Calibri" w:cs="Calibri" w:eastAsia="Calibri" w:hAnsi="Calibri"/>
          <w:b/>
          <w:bCs/>
          <w:sz w:val="22"/>
          <w:szCs w:val="22"/>
        </w:rPr>
        <w:t xml:space="preserve">Dönemler arası paydayı değiştirmek.</w:t>
      </w:r>
      <w:r>
        <w:rPr>
          <w:rFonts w:ascii="Calibri" w:cs="Calibri" w:eastAsia="Calibri" w:hAnsi="Calibri"/>
          <w:sz w:val="22"/>
          <w:szCs w:val="22"/>
        </w:rPr>
        <w:t xml:space="preserve"> Çalışan, FTE ya da geçici işgücü seçimi seri boyunca korunmalıdır.</w:t>
      </w:r>
    </w:p>
    <w:p>
      <w:pPr>
        <w:spacing w:after="140" w:line="288"/>
        <w:jc w:val="left"/>
      </w:pPr>
      <w:r>
        <w:rPr>
          <w:rFonts w:ascii="Calibri" w:cs="Calibri" w:eastAsia="Calibri" w:hAnsi="Calibri"/>
          <w:sz w:val="22"/>
          <w:szCs w:val="22"/>
        </w:rPr>
        <w:t xml:space="preserve">Bu hataların ortak nedeni, tanımların kurum içinde yazılı olmamasıdır. ISO/TS 30428 ile uyumlu raporlama yapmak isteyen bir kurum, ilk iş olarak bir tanım sözlüğü hazırlamalı ve bunu her raporun ekine koymalıdır.</w:t>
      </w:r>
    </w:p>
    <w:p>
      <w:pPr>
        <w:spacing w:after="140" w:line="288"/>
        <w:jc w:val="left"/>
      </w:pPr>
      <w:r>
        <w:rPr>
          <w:rFonts w:ascii="Calibri" w:cs="Calibri" w:eastAsia="Calibri" w:hAnsi="Calibri"/>
          <w:sz w:val="22"/>
          <w:szCs w:val="22"/>
        </w:rPr>
        <w:t xml:space="preserve">Bir kurum, ISO/TS 30428 metriklerini hem iç hem dış raporlamada kullanıyorsa iki ayrı sunum hazırlamak zorunda kalır. İç rapor kırılımları, kategori ayrıntılarını ve yetkinlik dağılımını içerir; dış rapor ise toplam maliyet, çalışan başına maliyet ve ortalama saat gibi karşılaştırılabilir göstergeleri yöntem dipnotuyla verir. Yatırım analistleri ve aday çalışanlar özellikle çalışan ve öğrenen başına harcamayla ilgilenir. Dış raporlamada dikkat edilecek nokta, hangi maliyet kapsamının kullanıldığıdır: Aynı kurumun iki raporu, biri fırsat maliyetini dahil edip diğeri etmediği için birbirinden %40 farklı sonuç verebilir.</w:t>
      </w:r>
    </w:p>
    <w:p>
      <w:pPr>
        <w:pStyle w:val="Heading1"/>
        <w:keepNext/>
        <w:pageBreakBefore/>
        <w:spacing w:after="100" w:before="0"/>
      </w:pPr>
      <w:r>
        <w:rPr>
          <w:rFonts w:ascii="Calibri" w:cs="Calibri" w:eastAsia="Calibri" w:hAnsi="Calibri"/>
          <w:b/>
          <w:bCs/>
          <w:color w:val="0B5C8A"/>
          <w:sz w:val="34"/>
          <w:szCs w:val="34"/>
        </w:rPr>
        <w:t xml:space="preserve">4.4  Liderlik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30431:2021 — Liderlik güveni, kontrol alanı ve liderlik gelişimi.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30431, ISO 30414’ün liderlik kümesini ayrıntılandıran bir teknik şartnamedir. Giriş bölümünün temel iddiası, liderliğin kalitesinin ve sürdürülebilirliğinin kurumun sonuçlarını güçlü biçimde etkilediği, bunun da en uygun liderlerin belirlenmesine ve geliştirilmesine bağlı olduğudur. Şartname üç metrik tanımlar: liderlik güveni, kontrol alanı (bir yöneticiye bağlı çalışan sayısı) ve liderlik gelişimi. Her metrik için tanım, amaç, formül, kullanım, hedef kullanıcılar, bağlam etkenleri ve öngörü etkenleri verilir.</w:t>
      </w:r>
    </w:p>
    <w:p>
      <w:pPr>
        <w:spacing w:after="140" w:line="288"/>
        <w:jc w:val="left"/>
      </w:pPr>
      <w:r>
        <w:rPr>
          <w:rFonts w:ascii="Calibri" w:cs="Calibri" w:eastAsia="Calibri" w:hAnsi="Calibri"/>
          <w:sz w:val="22"/>
          <w:szCs w:val="22"/>
        </w:rPr>
        <w:t xml:space="preserve">Şartnamenin dürüst bir sınırı vardır: Liderlik kalitesi doğrudan ölçülemez. Metrikler dolaylı göstergelerdir: bir anket, bir oran, bir katılım yüzdesi. Ayrıca sonuç beklenenden kötü göründüğünde ileri inceleme olumlu göstergeleri de ortaya çıkarabilir; bu yüzden tek bir sayıya hüküm bağlamak yerine bağlamla birlikte okumak gerekir.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ölçer?</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güveni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yöneticilerine ve liderlerine duyduğu güven</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Kontrol alanı</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6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Gözetim ve yönetim kadrosunun çalışanlara ve koşullu işgücüne oranı</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gelişimi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liderleri içeriden geliştirme niyetinin geride kalan göstergesi</w:t>
            </w:r>
          </w:p>
        </w:tc>
      </w:tr>
    </w:tbl>
    <w:p>
      <w:pPr>
        <w:spacing w:after="140"/>
      </w:pPr>
    </w:p>
    <w:p>
      <w:pPr>
        <w:pStyle w:val="Heading2"/>
        <w:keepNext/>
        <w:spacing w:after="110" w:before="320"/>
      </w:pPr>
      <w:r>
        <w:rPr>
          <w:rFonts w:ascii="Calibri" w:cs="Calibri" w:eastAsia="Calibri" w:hAnsi="Calibri"/>
          <w:b/>
          <w:bCs/>
          <w:sz w:val="27"/>
          <w:szCs w:val="27"/>
        </w:rPr>
        <w:t xml:space="preserve">Metrik 1: Liderlik güveni</w:t>
      </w:r>
    </w:p>
    <w:p>
      <w:pPr>
        <w:spacing w:after="140" w:line="288"/>
        <w:jc w:val="left"/>
      </w:pPr>
      <w:r>
        <w:rPr>
          <w:rFonts w:ascii="Calibri" w:cs="Calibri" w:eastAsia="Calibri" w:hAnsi="Calibri"/>
          <w:sz w:val="22"/>
          <w:szCs w:val="22"/>
        </w:rPr>
        <w:t xml:space="preserve">Liderlik güveni anketle ölçülür. Şartname üç seçenek sayar: yönetim ya da liderlik etkinliğine dair sorulardan 0–100 arası toplu skor; Crawford, LePine ve Rich’in bağlılık derecelendirme ölçeği; 1–5 Likert ölçeğinin yüzdeliğe çevrilip tüm soruların ortalamasının alınması. Şartnamenin örnek Tablo 1’i üç boyut kullanır: adalet (“yöneticim bana ayrımcılık ya da kayırmacılık yapmadan eşit davranır”), dürüstlük (“yöneticimin ilkeleri vardır; dürüst ve doğru sözlüdür”) ve tutarlılık (“yöneticim benzer durumlara zaman içinde aynı biçimde karşılık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38"/>
      </w:tblGrid>
      <w:tr>
        <w:trPr>
          <w:cantSplit/>
          <w:tblHeader/>
        </w:trPr>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Boyut</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2015</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2016</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2017</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Adalet</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69</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73</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Dürüstlük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73</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Tutarlılık</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77</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79</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liderlik güveni endeksi (0–100)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r>
    </w:tbl>
    <w:p>
      <w:pPr>
        <w:spacing w:after="140"/>
      </w:pPr>
    </w:p>
    <w:p>
      <w:pPr>
        <w:spacing w:after="140" w:line="288"/>
        <w:jc w:val="left"/>
      </w:pPr>
      <w:r>
        <w:rPr>
          <w:rFonts w:ascii="Calibri" w:cs="Calibri" w:eastAsia="Calibri" w:hAnsi="Calibri"/>
          <w:sz w:val="22"/>
          <w:szCs w:val="22"/>
        </w:rPr>
        <w:t xml:space="preserve">Tablo şartnamedeki örnektir ve toplam endeks, üç boyutun eşit ağırlıklı ortalamasıyla uyumludur (71,7; 74,7; 76,3), ancak şartname ağırlığı belirtmez. Güven endeksi 2015’ten 2017’ye yükselmiştir; ama boyutlara inildiğinde farklı bir resim çıkar. Adalet 65’ten 73’e belirgin yükselmiş, dürüstlük 76’dan 75’e hafifçe gerilemiştir. Toplam sayı, boyut hareketlerini gizler. Bu yüzden her raporda boyut düzeyine inmek gerekir.</w:t>
      </w:r>
    </w:p>
    <w:p>
      <w:pPr>
        <w:spacing w:after="140" w:line="288"/>
        <w:jc w:val="left"/>
      </w:pPr>
      <w:r>
        <w:rPr>
          <w:rFonts w:ascii="Calibri" w:cs="Calibri" w:eastAsia="Calibri" w:hAnsi="Calibri"/>
          <w:sz w:val="22"/>
          <w:szCs w:val="22"/>
        </w:rPr>
        <w:t xml:space="preserve">Yöntem tutarlılığı kritik önemdedir. Toplu skor, Crawford–LePine–Rich ölçeği ve Likert dönüşümü farklı ölçeklerdir; anket yöntemi değişirse dönemler karşılaştırılamaz. Seri boyunca aynı yöntemi ve aynı soru kümesini kullanın. Likert yüzdelik dönüşümü şartnamede tanımlı değildir; hesaplayıcılarda yaygın kullanılan doğrusal dönüşüm (ortalama − 1) ÷ 4 × 100’dür ve bu bir varsayımdır.</w:t>
      </w:r>
    </w:p>
    <w:p>
      <w:pPr>
        <w:pStyle w:val="Heading2"/>
        <w:keepNext/>
        <w:spacing w:after="110" w:before="320"/>
      </w:pPr>
      <w:r>
        <w:rPr>
          <w:rFonts w:ascii="Calibri" w:cs="Calibri" w:eastAsia="Calibri" w:hAnsi="Calibri"/>
          <w:b/>
          <w:bCs/>
          <w:sz w:val="27"/>
          <w:szCs w:val="27"/>
        </w:rPr>
        <w:t xml:space="preserve">Metrik 2: Kontrol alanı</w:t>
      </w:r>
    </w:p>
    <w:p>
      <w:pPr>
        <w:spacing w:after="140" w:line="288"/>
        <w:jc w:val="left"/>
      </w:pPr>
      <w:r>
        <w:rPr>
          <w:rFonts w:ascii="Calibri" w:cs="Calibri" w:eastAsia="Calibri" w:hAnsi="Calibri"/>
          <w:sz w:val="22"/>
          <w:szCs w:val="22"/>
        </w:rPr>
        <w:t xml:space="preserve">Kontrol alanı, bir gözetmene ya da yöneticiye bağlı çalışan ve diğer işçi sayısıdır. Şartname iki yöntem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Yöntem</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Şartname örneği</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yöntem (Formül 1)</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 Toplam yönetici (doğrudan astı olmayanlar dahil)</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 ÷ 1.000 = 10</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Özel yöntem (Formül 2)</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 Doğrudan astı olan yönetici</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 ÷ 800 = 12,5</w:t>
            </w:r>
          </w:p>
        </w:tc>
      </w:tr>
    </w:tbl>
    <w:p>
      <w:pPr>
        <w:spacing w:after="140"/>
      </w:pPr>
    </w:p>
    <w:p>
      <w:pPr>
        <w:spacing w:after="140" w:line="288"/>
        <w:jc w:val="left"/>
      </w:pPr>
      <w:r>
        <w:rPr>
          <w:rFonts w:ascii="Calibri" w:cs="Calibri" w:eastAsia="Calibri" w:hAnsi="Calibri"/>
          <w:sz w:val="22"/>
          <w:szCs w:val="22"/>
        </w:rPr>
        <w:t xml:space="preserve">İki yöntem arasındaki fark açıklayıcıdır. Şartname örneğinde 10 ile 12,5 arasındaki fark, doğrudan astı olmayan 200 yöneticiden gelir; bu yöneticilerin oranı (%20) iki yöntemin ayrı raporlanmasının nedenidir. Genel yöntem, proje, bütçe, sistem ya da müşteri ilişkisi yönetimi sorumluluğuyla yönetici unvanı ve maaşı taşıyıp doğrudan bağlı çalışanı olmayan kişileri de sayar; bu yüzden gözetim yapan yöneticilerin gerçek iş yükünü, gözetim yapmayanlarınkiyle karıştırarak yanıltıcı bir oran verebilir. Özel yöntem yalnızca doğrudan gözetim sorumluluğu olan yöneticileri sayar ve genel yöntemden her zaman daha yüksek ya da eşit sonuç verir.</w:t>
      </w:r>
    </w:p>
    <w:p>
      <w:pPr>
        <w:spacing w:after="140" w:line="288"/>
        <w:jc w:val="left"/>
      </w:pPr>
      <w:r>
        <w:rPr>
          <w:rFonts w:ascii="Calibri" w:cs="Calibri" w:eastAsia="Calibri" w:hAnsi="Calibri"/>
          <w:sz w:val="22"/>
          <w:szCs w:val="22"/>
        </w:rPr>
        <w:t xml:space="preserve">Yüksek oran ikili okunur. Şartnameye göre çalışan/yönetici oranı yükseldikçe yapı daha yalın (daha az yönetim katmanı) olabilir; ancak giderek artan oranlar aşırı yüklenmiş yöneticilere, çalışan iletişiminde ve kariyer gelişiminde azalmaya, çalışan devrinde artışa ve düşük bağlılığa da işaret edebilir. Bu yüzden birçok kurum kontrol alanını, işgücü maliyet yönetiminin geride kalan, dolaylı bir göstergesi olarak kullanır.</w:t>
      </w:r>
    </w:p>
    <w:p>
      <w:pPr>
        <w:pStyle w:val="Heading3"/>
        <w:keepNext/>
        <w:spacing w:after="80" w:before="220"/>
      </w:pPr>
      <w:r>
        <w:rPr>
          <w:rFonts w:ascii="Calibri" w:cs="Calibri" w:eastAsia="Calibri" w:hAnsi="Calibri"/>
          <w:b/>
          <w:bCs/>
          <w:color w:val="0B5C8A"/>
          <w:sz w:val="23"/>
          <w:szCs w:val="23"/>
        </w:rPr>
        <w:t xml:space="preserve">Kurgusal örnek: Ortalamanın arkasındaki uçlar</w:t>
      </w:r>
    </w:p>
    <w:p>
      <w:pPr>
        <w:spacing w:after="140" w:line="288"/>
        <w:jc w:val="left"/>
      </w:pPr>
      <w:r>
        <w:rPr>
          <w:rFonts w:ascii="Calibri" w:cs="Calibri" w:eastAsia="Calibri" w:hAnsi="Calibri"/>
          <w:sz w:val="22"/>
          <w:szCs w:val="22"/>
        </w:rPr>
        <w:t xml:space="preserve">Anadolu Örnek A.Ş.’nin 2.400 çalışanı ve 240 yöneticisi vardır; yöneticilerin 190’ının doğrudan astı bulunmaktadır. Genel kontrol alanı 2.400 ÷ 240 = 10,0; özel kontrol alanı 2.400 ÷ 190 = 12,6’dır. Şartname, ortalamaya değil uçlara bakmayı önerir: Kaç yöneticinin yalnızca bir, kaçının 10’dan, kaçının 30’dan fazla doğrudan astı 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cantSplit/>
          <w:tblHeader/>
        </w:trPr>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Doğrudan astı sayısı</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Yönetici sayısı</w:t>
            </w:r>
          </w:p>
        </w:tc>
        <w:tc>
          <w:tcPr>
            <w:tcW w:type="dxa" w:w="2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 (%)</w:t>
            </w:r>
          </w:p>
        </w:tc>
      </w:tr>
      <w:tr>
        <w:trPr>
          <w:cantSplit/>
        </w:trPr>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kişi</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12,6</w:t>
            </w:r>
          </w:p>
        </w:tc>
      </w:tr>
      <w:tr>
        <w:trPr>
          <w:cantSplit/>
        </w:trPr>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2–10 kişi</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88</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46,3</w:t>
            </w:r>
          </w:p>
        </w:tc>
      </w:tr>
      <w:tr>
        <w:trPr>
          <w:cantSplit/>
        </w:trPr>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11–30 kişi</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66</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34,7</w:t>
            </w:r>
          </w:p>
        </w:tc>
      </w:tr>
      <w:tr>
        <w:trPr>
          <w:cantSplit/>
        </w:trPr>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30’dan fazla</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w:t>
            </w:r>
          </w:p>
        </w:tc>
      </w:tr>
      <w:tr>
        <w:trPr>
          <w:cantSplit/>
        </w:trPr>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(astı olan)</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190</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w:t>
            </w:r>
          </w:p>
        </w:tc>
      </w:tr>
    </w:tbl>
    <w:p>
      <w:pPr>
        <w:spacing w:after="140"/>
      </w:pPr>
    </w:p>
    <w:p>
      <w:pPr>
        <w:spacing w:after="140" w:line="288"/>
        <w:jc w:val="left"/>
      </w:pPr>
      <w:r>
        <w:rPr>
          <w:rFonts w:ascii="Calibri" w:cs="Calibri" w:eastAsia="Calibri" w:hAnsi="Calibri"/>
          <w:sz w:val="22"/>
          <w:szCs w:val="22"/>
        </w:rPr>
        <w:t xml:space="preserve">Ortalama 12,6 makul görünür, ancak 24 yöneticinin yalnızca bir astı vardır ve 12 yöneticinin 30’dan fazlası. İlk grup, katman fazlalığına (ve belki de bir çalışanın “teknik yönetici” unvanıyla yönetici sayılmasına) işaret edebilir; ikinci grup ise aşırı yüklenme riskini gösterir. Kontrol alanı düzeye, işlevsel gruba, iş türüne ve otomasyon düzeyine göre ayrıldığında daha öğreticidir. Vardiya, uzaktan çalışma, işin karmaşıklığı ve yardımcı gözetmenlerin varlığı da yorumu değiştirir.</w:t>
      </w:r>
    </w:p>
    <w:p>
      <w:pPr>
        <w:pStyle w:val="Heading2"/>
        <w:keepNext/>
        <w:spacing w:after="110" w:before="320"/>
      </w:pPr>
      <w:r>
        <w:rPr>
          <w:rFonts w:ascii="Calibri" w:cs="Calibri" w:eastAsia="Calibri" w:hAnsi="Calibri"/>
          <w:b/>
          <w:bCs/>
          <w:sz w:val="27"/>
          <w:szCs w:val="27"/>
        </w:rPr>
        <w:t xml:space="preserve">Metrik 3: Liderlik gelişimi</w:t>
      </w:r>
    </w:p>
    <w:p>
      <w:pPr>
        <w:spacing w:after="140" w:line="288"/>
        <w:jc w:val="left"/>
      </w:pPr>
      <w:r>
        <w:rPr>
          <w:rFonts w:ascii="Calibri" w:cs="Calibri" w:eastAsia="Calibri" w:hAnsi="Calibri"/>
          <w:sz w:val="22"/>
          <w:szCs w:val="22"/>
        </w:rPr>
        <w:t xml:space="preserve">Liderlik gelişimi, kurumun liderleri içeriden geliştirme niyetinin geride kalan göstergesidir. Şartname iki ölçü önerir: tanımlı dönemde liderlik gelişim programlarına katılan liderlerin yüzdesi ve tanımlı dönemde eğitime katılan liderlerin yüzdesi. Formül basittir: Katılan lider ÷ toplam lider × 100. Şartnamenin örneğinde 1.000 liderden 200’ü gelişim programına katılmıştır (%20,0), 800’ü ise bir tür eğitime katılmıştır (%80,0).</w:t>
      </w:r>
    </w:p>
    <w:p>
      <w:pPr>
        <w:spacing w:after="140" w:line="288"/>
        <w:jc w:val="left"/>
      </w:pPr>
      <w:r>
        <w:rPr>
          <w:rFonts w:ascii="Calibri" w:cs="Calibri" w:eastAsia="Calibri" w:hAnsi="Calibri"/>
          <w:sz w:val="22"/>
          <w:szCs w:val="22"/>
        </w:rPr>
        <w:t xml:space="preserve">İki yüzde birbirinin yerine kullanılamaz. Şartname örneğinde gelişim programlarına katılım %25’ten %20’ye inerken eğitim katılımı %50’den %80’e çıkabilir; biri programın seçiciliğini, diğeri eğitimin yaygınlığını yansıtır. Birinde azalma, diğerinde artış, kurumun ağırlığını “seçilmiş yüksek potansiyelli grup”tan “geniş yönetici tabanı”na kaydırdığının işareti olabilir. Lider grubu düzey, konum, bölüm ve hizmet yılı gibi kategorilere ayrıldığında metrik daha anlamlıdır.</w:t>
      </w:r>
    </w:p>
    <w:p>
      <w:pPr>
        <w:spacing w:after="140" w:line="288"/>
        <w:jc w:val="left"/>
      </w:pPr>
      <w:r>
        <w:rPr>
          <w:rFonts w:ascii="Calibri" w:cs="Calibri" w:eastAsia="Calibri" w:hAnsi="Calibri"/>
          <w:sz w:val="22"/>
          <w:szCs w:val="22"/>
        </w:rPr>
        <w:t xml:space="preserve">Liderlik gelişimi geride kalan göstergedir: niyetin yansımasını verir, kalitesini değil. Katılım yüzdesi, liderlerin yetkinliğini ya da gelişimin sonucunu göstermez. Bu yüzden liderlik gelişimi, 4.2’deki Kirkpatrick düzeyleriyle (öğrenme, uygulama, sonuç) ve liderlik güveni ile birlikte okunmalıdır: Liderlere yatırım artıyorsa, bir sonraki yıllarda liderlik güveni endeksi de yükselmelidir. Yükselmiyorsa içerik, uygulama ya da seçim sorgulanır.</w:t>
      </w:r>
    </w:p>
    <w:p>
      <w:pPr>
        <w:pStyle w:val="Heading3"/>
        <w:keepNext/>
        <w:spacing w:after="80" w:before="220"/>
      </w:pPr>
      <w:r>
        <w:rPr>
          <w:rFonts w:ascii="Calibri" w:cs="Calibri" w:eastAsia="Calibri" w:hAnsi="Calibri"/>
          <w:b/>
          <w:bCs/>
          <w:color w:val="0B5C8A"/>
          <w:sz w:val="23"/>
          <w:szCs w:val="23"/>
        </w:rPr>
        <w:t xml:space="preserve">Liderlik gelişimi ve yedekleme planlamasının bağı</w:t>
      </w:r>
    </w:p>
    <w:p>
      <w:pPr>
        <w:spacing w:after="140" w:line="288"/>
        <w:jc w:val="left"/>
      </w:pPr>
      <w:r>
        <w:rPr>
          <w:rFonts w:ascii="Calibri" w:cs="Calibri" w:eastAsia="Calibri" w:hAnsi="Calibri"/>
          <w:sz w:val="22"/>
          <w:szCs w:val="22"/>
        </w:rPr>
        <w:t xml:space="preserve">Liderlik gelişimi metriği, Kısım 2’de ele alınan yedekleme planlamasıyla doğrudan ilişkilidir. ISO/TS 30433’teki yedek havuzu kapsama ve hazırlık göstergeleri, kritik liderlik pozisyonları için kimin hazır olduğunu söyler; ISO/TS 30431’deki liderlik gelişimi yüzdesi ise bu havuzun nasıl beslendiğini gösterir. Gelişim programına katılan liderlerin yüzdesi düşükken yedek havuzunun hazırlık oranı da düşüyorsa, sorun programın seçiciliğinde değil, programa yeterince yatırım yapılmamasındadır. Tersine, yüksek program katılımına rağmen hazır yedek sayısı artmıyorsa, programın içeriği ya da seçilen kişiler sorgulanmalıdır.</w:t>
      </w:r>
    </w:p>
    <w:p>
      <w:pPr>
        <w:pStyle w:val="Heading2"/>
        <w:keepNext/>
        <w:spacing w:after="110" w:before="320"/>
      </w:pPr>
      <w:r>
        <w:rPr>
          <w:rFonts w:ascii="Calibri" w:cs="Calibri" w:eastAsia="Calibri" w:hAnsi="Calibri"/>
          <w:b/>
          <w:bCs/>
          <w:sz w:val="27"/>
          <w:szCs w:val="27"/>
        </w:rPr>
        <w:t xml:space="preserve">Bağlam ve öngörü etkenleri</w:t>
      </w:r>
    </w:p>
    <w:p>
      <w:pPr>
        <w:spacing w:after="140" w:line="288"/>
        <w:jc w:val="left"/>
      </w:pPr>
      <w:r>
        <w:rPr>
          <w:rFonts w:ascii="Calibri" w:cs="Calibri" w:eastAsia="Calibri" w:hAnsi="Calibri"/>
          <w:sz w:val="22"/>
          <w:szCs w:val="22"/>
        </w:rPr>
        <w:t xml:space="preserve">Şartname her üç metrik için ilk bağlam etkeni olarak FTE değişimini sayar: Her ölçüm noktasındaki FTE sayısı, sonuçların anlamını değiştirecek kadar büyüdü ya da küçüldü mü? Diğer bağlam etkenleri kurumun güncel faaliyetleri (üretim artışı, yeniden yapılanma, işgücünü eğitmeye yönelik girişimler), kültürel ve kuşak değişimleri, toplumsal farkındalık, sektör beklentisi ve ekonomik koşullardır. Öngörü etkenleri ise planlanan örgüt yapısı değişiklikleri, yaklaşan iş ya da ürün değişiklikleri, satın almalar, ekonomik gelişmeler ve siyasi, sosyal, çevresel ve yasal dinamiklerdir.</w:t>
      </w:r>
    </w:p>
    <w:p>
      <w:pPr>
        <w:pStyle w:val="Heading2"/>
        <w:keepNext/>
        <w:spacing w:after="110" w:before="320"/>
      </w:pPr>
      <w:r>
        <w:rPr>
          <w:rFonts w:ascii="Calibri" w:cs="Calibri" w:eastAsia="Calibri" w:hAnsi="Calibri"/>
          <w:b/>
          <w:bCs/>
          <w:sz w:val="27"/>
          <w:szCs w:val="27"/>
        </w:rPr>
        <w:t xml:space="preserve">Sınırlamalar ve raporlama</w:t>
      </w:r>
    </w:p>
    <w:p>
      <w:pPr>
        <w:pStyle w:val="ListParagraph"/>
        <w:numPr>
          <w:ilvl w:val="0"/>
          <w:numId w:val="2"/>
        </w:numPr>
        <w:spacing w:after="80" w:line="280"/>
      </w:pPr>
      <w:r>
        <w:rPr>
          <w:rFonts w:ascii="Calibri" w:cs="Calibri" w:eastAsia="Calibri" w:hAnsi="Calibri"/>
          <w:b/>
          <w:bCs/>
          <w:sz w:val="22"/>
          <w:szCs w:val="22"/>
        </w:rPr>
        <w:t xml:space="preserve">Şartname yorum eşiği vermez.</w:t>
      </w:r>
      <w:r>
        <w:rPr>
          <w:rFonts w:ascii="Calibri" w:cs="Calibri" w:eastAsia="Calibri" w:hAnsi="Calibri"/>
          <w:sz w:val="22"/>
          <w:szCs w:val="22"/>
        </w:rPr>
        <w:t xml:space="preserve"> İyi bir kontrol alanı, hedef gelişim yüzdesi ya da kabul edilebilir güven puanı için kurumun hedefleri ve sektör kıyaslaması kullanılır.</w:t>
      </w:r>
    </w:p>
    <w:p>
      <w:pPr>
        <w:pStyle w:val="ListParagraph"/>
        <w:numPr>
          <w:ilvl w:val="0"/>
          <w:numId w:val="2"/>
        </w:numPr>
        <w:spacing w:after="80" w:line="280"/>
      </w:pPr>
      <w:r>
        <w:rPr>
          <w:rFonts w:ascii="Calibri" w:cs="Calibri" w:eastAsia="Calibri" w:hAnsi="Calibri"/>
          <w:b/>
          <w:bCs/>
          <w:sz w:val="22"/>
          <w:szCs w:val="22"/>
        </w:rPr>
        <w:t xml:space="preserve">Toplam güven endeksinin hesap yöntemi yazılı değildir.</w:t>
      </w:r>
      <w:r>
        <w:rPr>
          <w:rFonts w:ascii="Calibri" w:cs="Calibri" w:eastAsia="Calibri" w:hAnsi="Calibri"/>
          <w:sz w:val="22"/>
          <w:szCs w:val="22"/>
        </w:rPr>
        <w:t xml:space="preserve"> Eşit ağırlık bir varsayımdır.</w:t>
      </w:r>
    </w:p>
    <w:p>
      <w:pPr>
        <w:pStyle w:val="ListParagraph"/>
        <w:numPr>
          <w:ilvl w:val="0"/>
          <w:numId w:val="2"/>
        </w:numPr>
        <w:spacing w:after="80" w:line="280"/>
      </w:pPr>
      <w:r>
        <w:rPr>
          <w:rFonts w:ascii="Calibri" w:cs="Calibri" w:eastAsia="Calibri" w:hAnsi="Calibri"/>
          <w:b/>
          <w:bCs/>
          <w:sz w:val="22"/>
          <w:szCs w:val="22"/>
        </w:rPr>
        <w:t xml:space="preserve">Crawford, LePine ve Rich ölçeği yalnızca adıyla anılır;</w:t>
      </w:r>
      <w:r>
        <w:rPr>
          <w:rFonts w:ascii="Calibri" w:cs="Calibri" w:eastAsia="Calibri" w:hAnsi="Calibri"/>
          <w:sz w:val="22"/>
          <w:szCs w:val="22"/>
        </w:rPr>
        <w:t xml:space="preserve"> puanlama kuralı şartnamede yoktur.</w:t>
      </w:r>
    </w:p>
    <w:p>
      <w:pPr>
        <w:pStyle w:val="ListParagraph"/>
        <w:numPr>
          <w:ilvl w:val="0"/>
          <w:numId w:val="2"/>
        </w:numPr>
        <w:spacing w:after="80" w:line="280"/>
      </w:pPr>
      <w:r>
        <w:rPr>
          <w:rFonts w:ascii="Calibri" w:cs="Calibri" w:eastAsia="Calibri" w:hAnsi="Calibri"/>
          <w:b/>
          <w:bCs/>
          <w:sz w:val="22"/>
          <w:szCs w:val="22"/>
        </w:rPr>
        <w:t xml:space="preserve">Şartnamenin yayımlanmış örneğinde başlık tutarsızlıkları vardır.</w:t>
      </w:r>
      <w:r>
        <w:rPr>
          <w:rFonts w:ascii="Calibri" w:cs="Calibri" w:eastAsia="Calibri" w:hAnsi="Calibri"/>
          <w:sz w:val="22"/>
          <w:szCs w:val="22"/>
        </w:rPr>
        <w:t xml:space="preserve"> Örneğin 12,5 değeri özel yöntemin sonucudur, ama sonuç satırı “genel kontrol alanı” olarak adlandırılmıştır.</w:t>
      </w:r>
    </w:p>
    <w:p>
      <w:pPr>
        <w:pStyle w:val="ListParagraph"/>
        <w:numPr>
          <w:ilvl w:val="0"/>
          <w:numId w:val="2"/>
        </w:numPr>
        <w:spacing w:after="80" w:line="280"/>
      </w:pPr>
      <w:r>
        <w:rPr>
          <w:rFonts w:ascii="Calibri" w:cs="Calibri" w:eastAsia="Calibri" w:hAnsi="Calibri"/>
          <w:b/>
          <w:bCs/>
          <w:sz w:val="22"/>
          <w:szCs w:val="22"/>
        </w:rPr>
        <w:t xml:space="preserve">Küçük gruplarda oranlar oynaktır.</w:t>
      </w:r>
      <w:r>
        <w:rPr>
          <w:rFonts w:ascii="Calibri" w:cs="Calibri" w:eastAsia="Calibri" w:hAnsi="Calibri"/>
          <w:sz w:val="22"/>
          <w:szCs w:val="22"/>
        </w:rPr>
        <w:t xml:space="preserve"> 10 liderlik pozisyonlu bir birimde bir kişi yüzdeyi 10 puan oynatır.</w:t>
      </w:r>
    </w:p>
    <w:p>
      <w:pPr>
        <w:spacing w:after="140" w:line="288"/>
        <w:jc w:val="left"/>
      </w:pPr>
      <w:r>
        <w:rPr>
          <w:rFonts w:ascii="Calibri" w:cs="Calibri" w:eastAsia="Calibri" w:hAnsi="Calibri"/>
          <w:sz w:val="22"/>
          <w:szCs w:val="22"/>
        </w:rPr>
        <w:t xml:space="preserve">Çalışan temsilcileri için şartnamenin bir notu önemlidir: Liderlik işgücünü etkilediğinden, çalışanlar ve temsilcileriyle açık ve düzenli diyalog stratejileri kurulabilir. Raporlamada üst yönetim ve yönetim kurulu toplam güven endeksi eğilimini, genel ve özel kontrol alanını, liderlik gelişim yatırımını ve sorunlu birimleri görür; hat yönetimi kendi birimlerinin güven puanını ve liderlerinin gelişim katılımını; çalışan temsilcileri güven anketi sonuçlarını (yöntem ve boyutlarıyla) ve kontrol alanı kırılımlarını; dış paydaşlar ise karşılaştırılabilir toplam göstergeleri yöntem dipnotuyla görür. Her raporda ölçüm noktası, liderlik grubu tanımı, anket yöntemi ve ölçeği, işgücü tanımı ve genel ve özel kontrol alanı ayrımı yazılmalıdır.</w:t>
      </w:r>
    </w:p>
    <w:p>
      <w:pPr>
        <w:pStyle w:val="Heading3"/>
        <w:keepNext/>
        <w:spacing w:after="80" w:before="220"/>
      </w:pPr>
      <w:r>
        <w:rPr>
          <w:rFonts w:ascii="Calibri" w:cs="Calibri" w:eastAsia="Calibri" w:hAnsi="Calibri"/>
          <w:b/>
          <w:bCs/>
          <w:color w:val="0B5C8A"/>
          <w:sz w:val="23"/>
          <w:szCs w:val="23"/>
        </w:rPr>
        <w:t xml:space="preserve">Kurgusal vaka: Güven ve kontrol alanı birlikte</w:t>
      </w:r>
    </w:p>
    <w:p>
      <w:pPr>
        <w:spacing w:after="140" w:line="288"/>
        <w:jc w:val="left"/>
      </w:pPr>
      <w:r>
        <w:rPr>
          <w:rFonts w:ascii="Calibri" w:cs="Calibri" w:eastAsia="Calibri" w:hAnsi="Calibri"/>
          <w:sz w:val="22"/>
          <w:szCs w:val="22"/>
        </w:rPr>
        <w:t xml:space="preserve">Anadolu Örnek A.Ş.’nin lojistik biriminde liderlik güveni endeksi 78’den 66’ya düşmüştür. Boyutlara bakıldığında adalet 80’den 61’e inmiş, dürüstlük ve tutarlılık yerinde kalmıştır. Aynı birimde özel kontrol alanı 14’ten 31’e çıkmıştır; bir yeniden yapılanmada iki yönetim katmanı kaldırılmıştır. Şartnamenin uyarısı burada doğrudan geçerlidir: Yüksek kontrol alanı daha yalın bir yapıya işaret edebilir, ama giderek büyüyen oranlar aşırı yüklenmiş yöneticilere, çalışan iletişiminde ve kariyer gelişiminde azalmaya ve düşük bağlılığa da yol açabilir. Güvendeki düşüşün yalnızca adalet boyutunda görülmesi, yöneticilerin geniş ekiplerde terfi, vardiya ve iş dağıtımı kararlarını yeterince açıklayamadığını düşündürür. Müdahale, liderlik gelişimi programına bu birimin yöneticilerini öncelikli almak ve kontrol alanını bir ara gözetmen katmanıyla dengelemektir. Rakamlar kurgusaldır; ancak iki metriğin birlikte okunduğunda ne söylediğini gösterir.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6"/>
        </w:numPr>
        <w:spacing w:after="80" w:line="280"/>
      </w:pPr>
      <w:r>
        <w:rPr>
          <w:rFonts w:ascii="Calibri" w:cs="Calibri" w:eastAsia="Calibri" w:hAnsi="Calibri"/>
          <w:sz w:val="22"/>
          <w:szCs w:val="22"/>
        </w:rPr>
        <w:t xml:space="preserve">Liderlik grubunu tanımlayın: kimler lider sayılır, yönetici ile lider ayrımı nedir?</w:t>
      </w:r>
    </w:p>
    <w:p>
      <w:pPr>
        <w:pStyle w:val="ListParagraph"/>
        <w:numPr>
          <w:ilvl w:val="0"/>
          <w:numId w:val="6"/>
        </w:numPr>
        <w:spacing w:after="80" w:line="280"/>
      </w:pPr>
      <w:r>
        <w:rPr>
          <w:rFonts w:ascii="Calibri" w:cs="Calibri" w:eastAsia="Calibri" w:hAnsi="Calibri"/>
          <w:sz w:val="22"/>
          <w:szCs w:val="22"/>
        </w:rPr>
        <w:t xml:space="preserve">Güven anketi için yöntemi (toplu skor, Likert dönüşümü) ve soru kümesini sabitleyin.</w:t>
      </w:r>
    </w:p>
    <w:p>
      <w:pPr>
        <w:pStyle w:val="ListParagraph"/>
        <w:numPr>
          <w:ilvl w:val="0"/>
          <w:numId w:val="6"/>
        </w:numPr>
        <w:spacing w:after="80" w:line="280"/>
      </w:pPr>
      <w:r>
        <w:rPr>
          <w:rFonts w:ascii="Calibri" w:cs="Calibri" w:eastAsia="Calibri" w:hAnsi="Calibri"/>
          <w:sz w:val="22"/>
          <w:szCs w:val="22"/>
        </w:rPr>
        <w:t xml:space="preserve">Paydadaki işgücü tanımını yazın: geçici işçi ve yüklenici dahil mi?</w:t>
      </w:r>
    </w:p>
    <w:p>
      <w:pPr>
        <w:pStyle w:val="ListParagraph"/>
        <w:numPr>
          <w:ilvl w:val="0"/>
          <w:numId w:val="6"/>
        </w:numPr>
        <w:spacing w:after="80" w:line="280"/>
      </w:pPr>
      <w:r>
        <w:rPr>
          <w:rFonts w:ascii="Calibri" w:cs="Calibri" w:eastAsia="Calibri" w:hAnsi="Calibri"/>
          <w:sz w:val="22"/>
          <w:szCs w:val="22"/>
        </w:rPr>
        <w:t xml:space="preserve">Genel ve özel kontrol alanını ayrı hesaplayın; işlevsel gruba göre en yüksek ve en düşük değerleri raporlayın.</w:t>
      </w:r>
    </w:p>
    <w:p>
      <w:pPr>
        <w:pStyle w:val="ListParagraph"/>
        <w:numPr>
          <w:ilvl w:val="0"/>
          <w:numId w:val="6"/>
        </w:numPr>
        <w:spacing w:after="80" w:line="280"/>
      </w:pPr>
      <w:r>
        <w:rPr>
          <w:rFonts w:ascii="Calibri" w:cs="Calibri" w:eastAsia="Calibri" w:hAnsi="Calibri"/>
          <w:sz w:val="22"/>
          <w:szCs w:val="22"/>
        </w:rPr>
        <w:t xml:space="preserve">Liderlik gelişimi için tanımlı dönemi, program ve eğitim ayrımını netleştirin.</w:t>
      </w:r>
    </w:p>
    <w:p>
      <w:pPr>
        <w:pStyle w:val="ListParagraph"/>
        <w:numPr>
          <w:ilvl w:val="0"/>
          <w:numId w:val="6"/>
        </w:numPr>
        <w:spacing w:after="80" w:line="280"/>
      </w:pPr>
      <w:r>
        <w:rPr>
          <w:rFonts w:ascii="Calibri" w:cs="Calibri" w:eastAsia="Calibri" w:hAnsi="Calibri"/>
          <w:sz w:val="22"/>
          <w:szCs w:val="22"/>
        </w:rPr>
        <w:t xml:space="preserve">FTE değişimini ve örgütsel değişiklikleri bağlam olarak kaydedin.</w:t>
      </w:r>
    </w:p>
    <w:p>
      <w:pPr>
        <w:pStyle w:val="Heading1"/>
        <w:keepNext/>
        <w:pageBreakBefore/>
        <w:spacing w:after="100" w:before="0"/>
      </w:pPr>
      <w:r>
        <w:rPr>
          <w:rFonts w:ascii="Calibri" w:cs="Calibri" w:eastAsia="Calibri" w:hAnsi="Calibri"/>
          <w:b/>
          <w:bCs/>
          <w:color w:val="0B5C8A"/>
          <w:sz w:val="34"/>
          <w:szCs w:val="34"/>
        </w:rPr>
        <w:t xml:space="preserve">4.5  Sürdürülebilir İstihdam Edilebilirlik Yönetimi</w:t>
      </w:r>
    </w:p>
    <w:p>
      <w:pPr>
        <w:keepNext/>
        <w:pBdr>
          <w:bottom w:val="single" w:color="0B5C8A" w:sz="8" w:space="6"/>
        </w:pBdr>
        <w:spacing w:after="220"/>
      </w:pPr>
      <w:r>
        <w:rPr>
          <w:rFonts w:ascii="Calibri" w:cs="Calibri" w:eastAsia="Calibri" w:hAnsi="Calibri"/>
          <w:i/>
          <w:iCs/>
          <w:color w:val="59636F"/>
          <w:sz w:val="26"/>
          <w:szCs w:val="26"/>
        </w:rPr>
        <w:t xml:space="preserve">ISO/TR 30406:2017 — İşgücünün çalışma yaşamı boyunca değerini ve çalışabilirliğini koruması için kurumsal politika.</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Bu kısmın önceki dört bölümü öğrenme yatırımının ve yetkinliğin bugünkü durumunu ölçtü. ISO/TR 30406 ise farklı bir soru sorar: İşgücümüz yıllar sonra da çalışabilir ve değerli kalacak mı? Teknik raporun girişine göre sürdürülebilir istihdam edilebilirlik, bir kişinin çalışma yaşamı boyunca kaliteli iş edinme ya da sürdürme ve bilgi, beceri ve yeteneklerini başka bir işe, kuruma ya da gelecekteki bir role aktarabilme yeteneğidir. Kurum açısından ise işgücünün iyi oluşu ile iş gereksinimlerini dengeleme taahhüdüdür. Çalıştıran kurum için bu, işgücünü edinme, yaratma, geliştirme ve eğitme, elde tutma, yeniden görevlendirme ve destekleme konusunda uzun dönemli ve çevik bir yaklaşımdır.</w:t>
      </w:r>
    </w:p>
    <w:p>
      <w:pPr>
        <w:spacing w:after="140" w:line="288"/>
        <w:jc w:val="left"/>
      </w:pPr>
      <w:r>
        <w:rPr>
          <w:rFonts w:ascii="Calibri" w:cs="Calibri" w:eastAsia="Calibri" w:hAnsi="Calibri"/>
          <w:sz w:val="22"/>
          <w:szCs w:val="22"/>
        </w:rPr>
        <w:t xml:space="preserve">Belgenin türü önemlidir: Bu bir teknik rapordur (Technical Report), teknik şartname değil. Gereklilik koymaz, uygunluk sınaması vermez, formül ya da sayısal metrik tanımlamaz. Kurumun kendi durumunu değerlendirmesine yardım eden bir araç sunar: üç faktör kümesi, toplam 20 faktör, her faktörü tarif eden 74 ifade ve bir uygulama süreci. Rapor yalnızca kurumsal düzeye odaklanır; hükümet ve birey düzeylerini anar ama bunları kapsamın dışında tutar.</w:t>
      </w:r>
    </w:p>
    <w:p>
      <w:pPr>
        <w:spacing w:after="140" w:line="288"/>
        <w:jc w:val="left"/>
      </w:pPr>
      <w:r>
        <w:rPr>
          <w:rFonts w:ascii="Calibri" w:cs="Calibri" w:eastAsia="Calibri" w:hAnsi="Calibri"/>
          <w:sz w:val="22"/>
          <w:szCs w:val="22"/>
        </w:rPr>
        <w:t xml:space="preserve">Raporun gerekçesi çalışma yaşamının değişimidir. Demografik kaymalar, teknolojik gelişmeler, iş türlerinin değişmesi, küreselleşme ve bireylerin çalışma yerini ve saatini seçme isteği nedeniyle “ömür boyu iş” kavramı her sektör ve birey için geçerli değildir. Kurumlar ihtiyaç duyduklarında gereken bilgi, beceri ve yeteneğe (KSA) sahip olmayabilir, ya da artık ihtiyaç duymadıkları KSA fazlasına sahip olabilir; ikisi de aşırı işe alım ve yetenek satın alma harcamalarına, pahalı işten çıkarmalara ve pazarda geri kalmaya yol açar. Rapor, bu iki uca karşı bir politika çerçevesi sunar.</w:t>
      </w:r>
    </w:p>
    <w:p>
      <w:pPr>
        <w:pStyle w:val="Heading2"/>
        <w:keepNext/>
        <w:spacing w:after="110" w:before="320"/>
      </w:pPr>
      <w:r>
        <w:rPr>
          <w:rFonts w:ascii="Calibri" w:cs="Calibri" w:eastAsia="Calibri" w:hAnsi="Calibri"/>
          <w:b/>
          <w:bCs/>
          <w:sz w:val="27"/>
          <w:szCs w:val="27"/>
        </w:rPr>
        <w:t xml:space="preserve">Üç düzey ve esnek çalışma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Düzey</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Hükümet düzeyi</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Siyasi ve ekonomik gerçeklik ile işgücü piyasasının işleyişi kritiktir; hükümetler sürdürülebilir istihdam edilebilirlik politika ve programlarını sıklıkla geliştirir ve uygular.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Sektör, endüstri ya da kurum düzeyi</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Girişimler sektörün ve kurumun gereksinimlerine ve gelişim evresine bağlıdır: anahtar sorunların ele alınması, gelecek beklentilerinin öngörülmesi, yetkinlik geliştirme.</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Bireysel düzey</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Motivasyon, beceriler, sağlık ve sosyal beceriler bileşimi. Kurum dış çevreyi etkileyecek konumda olmayabilir, ama bu unsurların gelişiminde kolaylaştırıcı olabilir.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Esnek çalışma ve esnek işgücü</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Esnek çalışma günlük düzen (farklı saatler, evden çalışma); esnek işgücü mevsimlik, parça başı, proje, belirli süreli, geçici ve yedek çalışma biçimleridir.</w:t>
            </w:r>
          </w:p>
        </w:tc>
      </w:tr>
    </w:tbl>
    <w:p>
      <w:pPr>
        <w:spacing w:after="140"/>
      </w:pPr>
    </w:p>
    <w:p>
      <w:pPr>
        <w:spacing w:after="140" w:line="288"/>
        <w:jc w:val="left"/>
      </w:pPr>
      <w:r>
        <w:rPr>
          <w:rFonts w:ascii="Calibri" w:cs="Calibri" w:eastAsia="Calibri" w:hAnsi="Calibri"/>
          <w:sz w:val="22"/>
          <w:szCs w:val="22"/>
        </w:rPr>
        <w:t xml:space="preserve">Bu düzey ayrımı, kurumun kendi sorumluluk alanını netleştirmesi bakımından önemlidir. Kurum, işgücü piyasasını ya da ekonomik koşulları değiştiremez; ama kendi çalışanlarının beceri gelişimini, sağlığını ve iş koşullarını yönetebilir. Esnek işgücü, tarım, çağrı merkezleri, inşaat, konaklama, perakende ve turizm gibi pek çok sektörde yaygındır ve bu çalışanların istihdam edilebilirliği de aynı çerçevede düşünülmelidir.</w:t>
      </w:r>
    </w:p>
    <w:p>
      <w:pPr>
        <w:pStyle w:val="Heading2"/>
        <w:keepNext/>
        <w:spacing w:after="110" w:before="320"/>
      </w:pPr>
      <w:r>
        <w:rPr>
          <w:rFonts w:ascii="Calibri" w:cs="Calibri" w:eastAsia="Calibri" w:hAnsi="Calibri"/>
          <w:b/>
          <w:bCs/>
          <w:sz w:val="27"/>
          <w:szCs w:val="27"/>
        </w:rPr>
        <w:t xml:space="preserve">Üç küme, yirmi faktör</w:t>
      </w:r>
    </w:p>
    <w:p>
      <w:pPr>
        <w:spacing w:after="140" w:line="288"/>
        <w:jc w:val="left"/>
      </w:pPr>
      <w:r>
        <w:rPr>
          <w:rFonts w:ascii="Calibri" w:cs="Calibri" w:eastAsia="Calibri" w:hAnsi="Calibri"/>
          <w:sz w:val="22"/>
          <w:szCs w:val="22"/>
        </w:rPr>
        <w:t xml:space="preserve">Raporun merkezinde üç faktör kümesi bulunur. Üç küme, işgücünün istihdam edilebilirliği ile karşılıklı ilişki içindedir; istihdam edilebilirlik de iş performansıyla karşılıklı ilişki içindedir. Tüm faktörlere (etkili işgücü planlaması, çalışma ortamının sunduğu fırsatlar ve kurumların ve bireylerin beceri gelişimi ve iyi oluş konularına gösterdiği özen) dikkat edilirse hem kuruma ve bireye hem de daha geniş olarak ekonomiye yararlı etki oluşur.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8"/>
      </w:tblGrid>
      <w:tr>
        <w:trPr>
          <w:cantSplit/>
          <w:tblHeader/>
        </w:trPr>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Küme</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Faktörler</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Küme 1: Politikaya bütünleştirme (7 faktör)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Misyon, vizyon ve hedefler; liderlik; sahiplenme; işgücü planlaması; uygulama; iletişim; kültür</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sürdürülebilir istihdam edilebilirliği politikalara ne ölçüde bütünleştirdiği</w:t>
            </w:r>
          </w:p>
        </w:tc>
      </w:tr>
      <w:tr>
        <w:trPr>
          <w:cantSplit/>
        </w:trPr>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Küme 2: İş yetkinlikleri, içerik, karmaşıklık, ilişkiler ve koşullar (6 faktör)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Yetkinlik vizyonu ve politikası; iş içeriği; karmaşıklık; beceri gelişimi; işyeri ilişkileri; çalışma koşulları</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İşin gerektirdiği KSA ve işgücünün bunları geliştirmesi</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Küme 3: Canlılık ve sağlık (7 faktör)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Sağlık yönetimi; sağlıklı ve güvenli ortam; sağlıklı yaşam biçimleri; fiziksel sağlık; ruh sağlığı; iyi oluş; iş–yaşam dengesi</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Şevk, enerji, motivasyon; işgücünün fiziksel ve zihinsel dengesi</w:t>
            </w:r>
          </w:p>
        </w:tc>
      </w:tr>
    </w:tbl>
    <w:p>
      <w:pPr>
        <w:spacing w:after="140"/>
      </w:pPr>
    </w:p>
    <w:p>
      <w:pPr>
        <w:spacing w:after="140" w:line="288"/>
        <w:jc w:val="left"/>
      </w:pPr>
      <w:r>
        <w:rPr>
          <w:rFonts w:ascii="Calibri" w:cs="Calibri" w:eastAsia="Calibri" w:hAnsi="Calibri"/>
          <w:sz w:val="22"/>
          <w:szCs w:val="22"/>
        </w:rPr>
        <w:t xml:space="preserve">Her faktör, kurumun uyguladığı durumu tarif eden üç ila beş ifadeyle anlatılır; toplam 74 ifade vardır. Örneğin liderlik faktörü, üst yönetimin gündemi sahiplenmesini, her düzeyde performans göstergelerini, doğru ölçülerin bilinmesini ve bölümler arası işbirliğini kapsar. İşgücü planlaması faktörü arz–talep risklerini, KSA’ların düzenli değerlendirmesini, işgücünün bilgilendirilmesini ve öğrenme potansiyeli olanların işe alınmasını. Beceri gelişimi faktörü kaynak ayırmayı, koçluk, mentorluk ve eğitimi, beceri kayıtları ve envanterini ve sektörün gelecekteki becerilerini. Ruh sağlığı faktörü, beş ifadeyle en çok ifade içeren faktördür: destek, teşvik, zihinsel talepler ile denge, belirsizlik ve karmaşıklık koşullarında ruh sağlığı ve yönetici–çalışan görüşmeleri.</w:t>
      </w:r>
    </w:p>
    <w:p>
      <w:pPr>
        <w:spacing w:after="140" w:line="288"/>
        <w:jc w:val="left"/>
      </w:pPr>
      <w:r>
        <w:rPr>
          <w:rFonts w:ascii="Calibri" w:cs="Calibri" w:eastAsia="Calibri" w:hAnsi="Calibri"/>
          <w:sz w:val="22"/>
          <w:szCs w:val="22"/>
        </w:rPr>
        <w:t xml:space="preserve">Faktör kümelerinin birbirine bağımlılığı önemli bir mesajdır. Yalnızca tek bir kümede yüksek düzey yeterli değildir: Güçlü beceri gelişimi ama zayıf ruh sağlığı desteği, sürdürülebilir bir istihdam edilebilirlik sağlamaz. İşgücü ne kadar yetkin olursa olsun, tükenmiş ya da sağlığı bozulmuş bir çalışan uzun vadede çalışabilir kalmaz. Aynı şekilde sağlık ve iyi oluşa yatırım yapan ama becerileri güncellemeyen bir kurum, çalışanlarını mutlu ama yarının işlerine hazırlıksız bırakır.</w:t>
      </w:r>
    </w:p>
    <w:p>
      <w:pPr>
        <w:pStyle w:val="Heading2"/>
        <w:keepNext/>
        <w:spacing w:after="110" w:before="320"/>
      </w:pPr>
      <w:r>
        <w:rPr>
          <w:rFonts w:ascii="Calibri" w:cs="Calibri" w:eastAsia="Calibri" w:hAnsi="Calibri"/>
          <w:b/>
          <w:bCs/>
          <w:sz w:val="27"/>
          <w:szCs w:val="27"/>
        </w:rPr>
        <w:t xml:space="preserve">Dört adımlı yöntem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6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İçerik</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Adım 1: Önemi belirleyin</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faktörler her sektör ya da kurum için aynı değere sahip olmadığından, 20 faktörün kuruma önemi belirlenir.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Adım 2: Mevcut durumu ölçün</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Faktörlerin kuruma ne ölçüde uygulandığı belirlenir.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Adım 3: Farkı belirleyin</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durumun istenen durumdan ne kadar farklı olduğuna karar verilir.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Adım 4: Sürekli iyileştirme</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iyileştirme döngüsü içinde sürekli ilerler; bu, sorun odaklı yönetimden sistematik bir yaklaşıma geçiştir.</w:t>
            </w:r>
          </w:p>
        </w:tc>
      </w:tr>
    </w:tbl>
    <w:p>
      <w:pPr>
        <w:spacing w:after="140"/>
      </w:pPr>
    </w:p>
    <w:p>
      <w:pPr>
        <w:spacing w:after="140" w:line="288"/>
        <w:jc w:val="left"/>
      </w:pPr>
      <w:r>
        <w:rPr>
          <w:rFonts w:ascii="Calibri" w:cs="Calibri" w:eastAsia="Calibri" w:hAnsi="Calibri"/>
          <w:sz w:val="22"/>
          <w:szCs w:val="22"/>
        </w:rPr>
        <w:t xml:space="preserve">Yöntemin arkasındaki mantık, ISO 9001 gibi kalite yönetim sistemi standartlarının sürekli iyileştirme döngüsüyle aynıdır. Rapor ayrıca bazı önkoşulları varsayar: güvenli çalışma koşulları ve bu konuda ortak sorumluluk; yapısal iş görüşmesi ve yıllık değerlendirmeler içeren bir İK politikası; sürekli iyileştirmeyi hedefleyen aktif bir İK ve iş sağlığı ve güvenliği politikası; işgücünün katkısını içeren yapısal politika için üst yönetim desteği. Bu önkoşullar zayıfsa “proaktif” ya da “bütünleşik” faz anlamlı olmaz; önce temel atılmalıdır.</w:t>
      </w:r>
    </w:p>
    <w:p>
      <w:pPr>
        <w:pStyle w:val="Heading2"/>
        <w:keepNext/>
        <w:spacing w:after="110" w:before="320"/>
      </w:pPr>
      <w:r>
        <w:rPr>
          <w:rFonts w:ascii="Calibri" w:cs="Calibri" w:eastAsia="Calibri" w:hAnsi="Calibri"/>
          <w:b/>
          <w:bCs/>
          <w:sz w:val="27"/>
          <w:szCs w:val="27"/>
        </w:rPr>
        <w:t xml:space="preserve">Ek A: Uygulama süreci ve faz modeli</w:t>
      </w:r>
    </w:p>
    <w:p>
      <w:pPr>
        <w:spacing w:after="140" w:line="288"/>
        <w:jc w:val="left"/>
      </w:pPr>
      <w:r>
        <w:rPr>
          <w:rFonts w:ascii="Calibri" w:cs="Calibri" w:eastAsia="Calibri" w:hAnsi="Calibri"/>
          <w:sz w:val="22"/>
          <w:szCs w:val="22"/>
        </w:rPr>
        <w:t xml:space="preserve">Raporun bilgilendirici Ek A’sı, kurumların pratik uygulama düzeyi konusunda uzlaşmasına yardım eden beş adımlı bir süreç tanımlar. Süreci çoğunlukla işletme sahipleri, üst yönetim ya da İK sahiplenir; dış danışmanlar da ilgili paydaşlarla yakın işbirliğiyle yürütebilir. Büyük kurumlarda adımlar bölümler için ayrı izlenebilir ve sonuçlar birleştirilebilir.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6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İçerik</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Planlama ve tasarım</w:t>
            </w:r>
          </w:p>
        </w:tc>
        <w:tc>
          <w:tcPr>
            <w:tcW w:type="dxa" w:w="6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Paydaş gruplarını (kurul, işletme sahipleri, üst yönetim, hat yönetimi, İK, iş sağlığı, eğitim, çalışan temsilcileri) belirleyin; çalışma grubu kurun; proje ve iletişim planı hazırlayın; bölümlerde şampiyonlar belirleyin; anket metriklerini geliştirin ve pilot uygulama yapın.</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 Aracı ölçme ve dağıtma</w:t>
            </w:r>
          </w:p>
        </w:tc>
        <w:tc>
          <w:tcPr>
            <w:tcW w:type="dxa" w:w="6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Planları uygulayın; anketi başlatın; anahtar paydaşlara iki hatırlatma gönderin; yanıt oranlarını izleyin; anketi kapatıp teşekkür edin.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 Analiz ve rapor</w:t>
            </w:r>
          </w:p>
        </w:tc>
        <w:tc>
          <w:tcPr>
            <w:tcW w:type="dxa" w:w="6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Veriyi temizleyin ve analiz edin; faktörlerin mevcut ve istenen bütünleşme düzeyini, paydaşların belirlediği öncelikleri ve yüksek getirili faktörleri raporlayın.</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 Paydaş toplantısı</w:t>
            </w:r>
          </w:p>
        </w:tc>
        <w:tc>
          <w:tcPr>
            <w:tcW w:type="dxa" w:w="6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Sonuçları sunun; paydaş gruplarının (ör. İK ve operasyonel yöneticiler) benzerlik ve farklılıklarını tartışın; ortak bir vizyona ve öncelikli eylemlere uzlaşın.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 Uygulama</w:t>
            </w:r>
          </w:p>
        </w:tc>
        <w:tc>
          <w:tcPr>
            <w:tcW w:type="dxa" w:w="6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Eylem planını uygulayın ve sonuçları değerlendirin; bu değerlendirme Adım 1’e dönmek için yeni durumun başlangıcıdır.</w:t>
            </w:r>
          </w:p>
        </w:tc>
      </w:tr>
    </w:tbl>
    <w:p>
      <w:pPr>
        <w:spacing w:after="140"/>
      </w:pPr>
    </w:p>
    <w:p>
      <w:pPr>
        <w:spacing w:after="140" w:line="288"/>
        <w:jc w:val="left"/>
      </w:pPr>
      <w:r>
        <w:rPr>
          <w:rFonts w:ascii="Calibri" w:cs="Calibri" w:eastAsia="Calibri" w:hAnsi="Calibri"/>
          <w:sz w:val="22"/>
          <w:szCs w:val="22"/>
        </w:rPr>
        <w:t xml:space="preserve">Ek A’daki Tablo A.1, her faktör için kurumun politika fazını kaydeden bir şablondur. Dört faz sayar: tepkisel, planlı, proaktif ve bütünleşik. Her faktör için mevcut durum, istenen durum ve öncelik kaydedilir; ayrıca mevcut politikalar, araçlar ve gereçler yazılır. Raporun önemli bir sınırı burada ortaya çıkar: Faz tanımları verilmez, örnek doldurma yoktur, öncelik ölçeği belirtilmez. Bu nedenle fazların ne anlama geldiğini ve bir faktörün hangi koşulda hangi fazda sayılacağını kurum kendi bağlamında tanımlamalıdır. Rehber sayfası, değerlendirmeyi sayıya dökmek için 1–4 karşılığını ve öncelik için 1–3 ölçeğini türetmiştir; bunlar raporun parçası değil, yardımcı varsayımlardır.</w:t>
      </w:r>
    </w:p>
    <w:p>
      <w:pPr>
        <w:pStyle w:val="Heading3"/>
        <w:keepNext/>
        <w:spacing w:after="80" w:before="220"/>
      </w:pPr>
      <w:r>
        <w:rPr>
          <w:rFonts w:ascii="Calibri" w:cs="Calibri" w:eastAsia="Calibri" w:hAnsi="Calibri"/>
          <w:b/>
          <w:bCs/>
          <w:color w:val="0B5C8A"/>
          <w:sz w:val="23"/>
          <w:szCs w:val="23"/>
        </w:rPr>
        <w:t xml:space="preserve">Kurgusal örnek: Faz açığı ve öncelik puanı</w:t>
      </w:r>
    </w:p>
    <w:p>
      <w:pPr>
        <w:spacing w:after="140" w:line="288"/>
        <w:jc w:val="left"/>
      </w:pPr>
      <w:r>
        <w:rPr>
          <w:rFonts w:ascii="Calibri" w:cs="Calibri" w:eastAsia="Calibri" w:hAnsi="Calibri"/>
          <w:sz w:val="22"/>
          <w:szCs w:val="22"/>
        </w:rPr>
        <w:t xml:space="preserve">Anadolu Örnek A.Ş. kurgusal şirketi, sürdürülebilir istihdam edilebilirlik değerlendirmesini beş faktör üzerinde yapmıştır. Fazlar 1 (tepkisel) ile 4 (bütünleşik) arasında, öncelik 1 (düşük) ile 3 (yüksek) arasında kodlanmıştır.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200"/>
        <w:gridCol w:w="1200"/>
        <w:gridCol w:w="14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Faktör</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Mevcut faz</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İstenen faz</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Öncelik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w:t>
            </w:r>
          </w:p>
        </w:tc>
        <w:tc>
          <w:tcPr>
            <w:tcW w:type="dxa" w:w="1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Öncelik puanı</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Beceri gelişimi (7.5)</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Ruh sağlığı (8.6)</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planlaması (6.5)</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(6.3)</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İletişim (6.7)</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Hesaplar (türetilmiş)</w:t>
            </w:r>
          </w:p>
          <w:p>
            <w:pPr>
              <w:spacing w:after="0" w:line="276"/>
            </w:pPr>
            <w:r>
              <w:rPr>
                <w:rFonts w:ascii="Calibri" w:cs="Calibri" w:eastAsia="Calibri" w:hAnsi="Calibri"/>
                <w:sz w:val="21"/>
                <w:szCs w:val="21"/>
              </w:rPr>
              <w:t xml:space="preserve">Faz açığı = istenen − mevcut. Öncelik puanı = açık × öncelik ağırlığı. Mevcut ortalama = (2 + 1 + 2 + 3 + 2) ÷ 5 = 2,0; istenen ortalama = (4 + 3 + 4 + 4 + 3) ÷ 5 = 3,6. İlerleme = mevcut toplam ÷ istenen toplam × 100 = 10 ÷ 18 × 100 = %55,6. Anket yanıt oranı = 448 ÷ 640 × 100 = %70.</w:t>
            </w:r>
          </w:p>
        </w:tc>
      </w:tr>
    </w:tbl>
    <w:p>
      <w:pPr>
        <w:spacing w:after="120"/>
      </w:pPr>
    </w:p>
    <w:p>
      <w:pPr>
        <w:spacing w:after="140" w:line="288"/>
        <w:jc w:val="left"/>
      </w:pPr>
      <w:r>
        <w:rPr>
          <w:rFonts w:ascii="Calibri" w:cs="Calibri" w:eastAsia="Calibri" w:hAnsi="Calibri"/>
          <w:sz w:val="22"/>
          <w:szCs w:val="22"/>
        </w:rPr>
        <w:t xml:space="preserve">Önceliklendirme açık: Beceri gelişimi ve ruh sağlığı en yüksek puanı (6) almıştır. Ruh sağlığı faktöründe mevcut faz yalnızca 1’dir (tepkisel); yani kurum bu alanda yalnızca sorun çıktığında müdahale etmektedir. Beceri gelişimi ise mevcut fazı 2 ile, planlı düzeydedir. İletişim faktöründe açık küçüktür ve öncelik de düşük olduğundan bu faktör sıradaki eylem planına girmeyebilir. Raporun “önce önemi, sonra düzeyi okuyun” ilkesi tam olarak budur: Büyük bir açık, öncelik düşükse acil olmayabilir.</w:t>
      </w:r>
    </w:p>
    <w:p>
      <w:pPr>
        <w:spacing w:after="140" w:line="288"/>
        <w:jc w:val="left"/>
      </w:pPr>
      <w:r>
        <w:rPr>
          <w:rFonts w:ascii="Calibri" w:cs="Calibri" w:eastAsia="Calibri" w:hAnsi="Calibri"/>
          <w:sz w:val="22"/>
          <w:szCs w:val="22"/>
        </w:rPr>
        <w:t xml:space="preserve">Yanıt oranı da bir kalite göstergesidir. 640 kişilik davetin %70 yanıtla sonuçlanması makuldür; ancak yanıt vermeyen 192 kişinin hangi bölümlerden olduğu bilinmelidir. Düşük yanıt oranı bazı paydaş gruplarının sesini kaybettirir ve sonuçlar yorumlanırken hangi grupların temsil edildiği yazılmalıdır.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Anketi bir kez yapıp bırakmak.</w:t>
      </w:r>
      <w:r>
        <w:rPr>
          <w:rFonts w:ascii="Calibri" w:cs="Calibri" w:eastAsia="Calibri" w:hAnsi="Calibri"/>
          <w:sz w:val="22"/>
          <w:szCs w:val="22"/>
        </w:rPr>
        <w:t xml:space="preserve"> Değerlendirme, Adım 1’e dönen bir döngünün parçasıdır.</w:t>
      </w:r>
    </w:p>
    <w:p>
      <w:pPr>
        <w:pStyle w:val="ListParagraph"/>
        <w:numPr>
          <w:ilvl w:val="0"/>
          <w:numId w:val="2"/>
        </w:numPr>
        <w:spacing w:after="80" w:line="280"/>
      </w:pPr>
      <w:r>
        <w:rPr>
          <w:rFonts w:ascii="Calibri" w:cs="Calibri" w:eastAsia="Calibri" w:hAnsi="Calibri"/>
          <w:b/>
          <w:bCs/>
          <w:sz w:val="22"/>
          <w:szCs w:val="22"/>
        </w:rPr>
        <w:t xml:space="preserve">Önkoşulları atlamak.</w:t>
      </w:r>
      <w:r>
        <w:rPr>
          <w:rFonts w:ascii="Calibri" w:cs="Calibri" w:eastAsia="Calibri" w:hAnsi="Calibri"/>
          <w:sz w:val="22"/>
          <w:szCs w:val="22"/>
        </w:rPr>
        <w:t xml:space="preserve"> Güvenli koşullar ve üst yönetim desteği olmadan “proaktif” faz anlamlı değildir.</w:t>
      </w:r>
    </w:p>
    <w:p>
      <w:pPr>
        <w:pStyle w:val="ListParagraph"/>
        <w:numPr>
          <w:ilvl w:val="0"/>
          <w:numId w:val="2"/>
        </w:numPr>
        <w:spacing w:after="80" w:line="280"/>
      </w:pPr>
      <w:r>
        <w:rPr>
          <w:rFonts w:ascii="Calibri" w:cs="Calibri" w:eastAsia="Calibri" w:hAnsi="Calibri"/>
          <w:b/>
          <w:bCs/>
          <w:sz w:val="22"/>
          <w:szCs w:val="22"/>
        </w:rPr>
        <w:t xml:space="preserve">Faz tanımlarını yazmamak.</w:t>
      </w:r>
      <w:r>
        <w:rPr>
          <w:rFonts w:ascii="Calibri" w:cs="Calibri" w:eastAsia="Calibri" w:hAnsi="Calibri"/>
          <w:sz w:val="22"/>
          <w:szCs w:val="22"/>
        </w:rPr>
        <w:t xml:space="preserve"> Raporda tanımlanmayan fazlar, her paydaş için farklı anlama gelir.</w:t>
      </w:r>
    </w:p>
    <w:p>
      <w:pPr>
        <w:pStyle w:val="ListParagraph"/>
        <w:numPr>
          <w:ilvl w:val="0"/>
          <w:numId w:val="2"/>
        </w:numPr>
        <w:spacing w:after="80" w:line="280"/>
      </w:pPr>
      <w:r>
        <w:rPr>
          <w:rFonts w:ascii="Calibri" w:cs="Calibri" w:eastAsia="Calibri" w:hAnsi="Calibri"/>
          <w:b/>
          <w:bCs/>
          <w:sz w:val="22"/>
          <w:szCs w:val="22"/>
        </w:rPr>
        <w:t xml:space="preserve">Yalnızca İK’nın doldurması.</w:t>
      </w:r>
      <w:r>
        <w:rPr>
          <w:rFonts w:ascii="Calibri" w:cs="Calibri" w:eastAsia="Calibri" w:hAnsi="Calibri"/>
          <w:sz w:val="22"/>
          <w:szCs w:val="22"/>
        </w:rPr>
        <w:t xml:space="preserve"> Paydaşlar arası farklar konuşmanın değeridir.</w:t>
      </w:r>
    </w:p>
    <w:p>
      <w:pPr>
        <w:pStyle w:val="ListParagraph"/>
        <w:numPr>
          <w:ilvl w:val="0"/>
          <w:numId w:val="2"/>
        </w:numPr>
        <w:spacing w:after="80" w:line="280"/>
      </w:pPr>
      <w:r>
        <w:rPr>
          <w:rFonts w:ascii="Calibri" w:cs="Calibri" w:eastAsia="Calibri" w:hAnsi="Calibri"/>
          <w:b/>
          <w:bCs/>
          <w:sz w:val="22"/>
          <w:szCs w:val="22"/>
        </w:rPr>
        <w:t xml:space="preserve">Küme 3’ü “yan ürün” saymak.</w:t>
      </w:r>
      <w:r>
        <w:rPr>
          <w:rFonts w:ascii="Calibri" w:cs="Calibri" w:eastAsia="Calibri" w:hAnsi="Calibri"/>
          <w:sz w:val="22"/>
          <w:szCs w:val="22"/>
        </w:rPr>
        <w:t xml:space="preserve"> Sağlık ve iyi oluş, yetkinlik kadar istihdam edilebilirliği belirler.</w:t>
      </w:r>
    </w:p>
    <w:p>
      <w:pPr>
        <w:pStyle w:val="Heading2"/>
        <w:keepNext/>
        <w:spacing w:after="110" w:before="320"/>
      </w:pPr>
      <w:r>
        <w:rPr>
          <w:rFonts w:ascii="Calibri" w:cs="Calibri" w:eastAsia="Calibri" w:hAnsi="Calibri"/>
          <w:b/>
          <w:bCs/>
          <w:sz w:val="27"/>
          <w:szCs w:val="27"/>
        </w:rPr>
        <w:t xml:space="preserve">Bu raporu öğrenme ve yetkinlik metrikleriyle bağlamak</w:t>
      </w:r>
    </w:p>
    <w:p>
      <w:pPr>
        <w:spacing w:after="140" w:line="288"/>
        <w:jc w:val="left"/>
      </w:pPr>
      <w:r>
        <w:rPr>
          <w:rFonts w:ascii="Calibri" w:cs="Calibri" w:eastAsia="Calibri" w:hAnsi="Calibri"/>
          <w:sz w:val="22"/>
          <w:szCs w:val="22"/>
        </w:rPr>
        <w:t xml:space="preserve">ISO/TR 30406, 4.1–4.4’teki ölçüm belgeleriyle farklı bir ilişki kurar. Onlar neyin gerçekleştiğini sayar; bu rapor ise politikanın olgunluğunu değerlendirir. Örneğin beceri gelişimi faktöründe “proaktif” faz, ISO 30422’deki ihtiyaç belirleme ve planlama aşamalarının düzenli çalıştığı, ISO/TS 30428’deki yetkinlik oranının izlendiği, ISO/TS 30437’deki sonuç metriklerinin kurumsal hedeflere bağlandığı bir kurumu tarif eder. Küme 3’teki sağlık faktörleri ise ISO 45001 gibi iş sağlığı ve güvenliği standartlarıyla; ruh sağlığı ve iyi oluş ISO 45003 ile ilişkilidir. Bu bağlantılar rapor tarafından zorunlu kılınmaz, ama uygulamada politikaların birbirini beslediğini gösterir.</w:t>
      </w:r>
    </w:p>
    <w:p>
      <w:pPr>
        <w:spacing w:after="140" w:line="288"/>
        <w:jc w:val="left"/>
      </w:pPr>
      <w:r>
        <w:rPr>
          <w:rFonts w:ascii="Calibri" w:cs="Calibri" w:eastAsia="Calibri" w:hAnsi="Calibri"/>
          <w:sz w:val="22"/>
          <w:szCs w:val="22"/>
        </w:rPr>
        <w:t xml:space="preserve">İşgücü planlaması faktörü Kısım 2 ile doğrudan örtüşür: Arz ve talep risklerinin değerlendirilmesi, KSA’ların düzenli gözden geçirilmesi ISO 30409’un konusudur. Liderlik ve kültür faktörleri ise 4.4’te ele alınan liderlik güveni ile birlikte okunabilir. Rapor böylece, bu kısımdaki dört bölümü ve Kısım 2’yi tek bir politika çerçevesinde birleştirir.</w:t>
      </w:r>
    </w:p>
    <w:p>
      <w:pPr>
        <w:pStyle w:val="Heading3"/>
        <w:keepNext/>
        <w:spacing w:after="80" w:before="220"/>
      </w:pPr>
      <w:r>
        <w:rPr>
          <w:rFonts w:ascii="Calibri" w:cs="Calibri" w:eastAsia="Calibri" w:hAnsi="Calibri"/>
          <w:b/>
          <w:bCs/>
          <w:color w:val="0B5C8A"/>
          <w:sz w:val="23"/>
          <w:szCs w:val="23"/>
        </w:rPr>
        <w:t xml:space="preserve">Kurgusal vaka: Esnek işgücü ve istihdam edilebilirlik</w:t>
      </w:r>
    </w:p>
    <w:p>
      <w:pPr>
        <w:spacing w:after="140" w:line="288"/>
        <w:jc w:val="left"/>
      </w:pPr>
      <w:r>
        <w:rPr>
          <w:rFonts w:ascii="Calibri" w:cs="Calibri" w:eastAsia="Calibri" w:hAnsi="Calibri"/>
          <w:sz w:val="22"/>
          <w:szCs w:val="22"/>
        </w:rPr>
        <w:t xml:space="preserve">Anadolu Örnek A.Ş.’nin perakende zincirinde çalışanların %35’i mevsimlik ve yarı zamanlıdır. Şirket, sürdürülebilir istihdam edilebilirlik değerlendirmesini yalnızca kadrolu çalışanlarla yapmış ve beceri gelişimi faktöründe “planlı” faz belirlemiştir. Esnek işgücü paydaşları dahil edildiğinde ise aynı faktörde “tepkisel” fazın işaretlendiği görülür; çünkü mevsimlik çalışanlar için beceri kaydı ve eğitim planı bulunmamaktadır. ISO/TR 30406’nın esnek çalışma ve esnek işgücünü açıkça kapsam içine alması, bu tür bir körlüğü önlemek içindir. Bu kurgusal örnek, paydaş farklarına bakmanın, ortalama bir faz değerinden daha fazla bilgi taşıdığını gösterir: Sezonluk işgücü için beceri kaydı oluşturmak, hem işe alım maliyetini hem de sezon başı uyum süresini düşürür.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Önce önemi, sonra düzeyi okuyun.</w:t>
      </w:r>
      <w:r>
        <w:rPr>
          <w:rFonts w:ascii="Calibri" w:cs="Calibri" w:eastAsia="Calibri" w:hAnsi="Calibri"/>
          <w:sz w:val="22"/>
          <w:szCs w:val="22"/>
        </w:rPr>
        <w:t xml:space="preserve"> Büyük bir faz açığı, öncelik düşükse acil olmayabilir.</w:t>
      </w:r>
    </w:p>
    <w:p>
      <w:pPr>
        <w:pStyle w:val="ListParagraph"/>
        <w:numPr>
          <w:ilvl w:val="0"/>
          <w:numId w:val="2"/>
        </w:numPr>
        <w:spacing w:after="80" w:line="280"/>
      </w:pPr>
      <w:r>
        <w:rPr>
          <w:rFonts w:ascii="Calibri" w:cs="Calibri" w:eastAsia="Calibri" w:hAnsi="Calibri"/>
          <w:b/>
          <w:bCs/>
          <w:sz w:val="22"/>
          <w:szCs w:val="22"/>
        </w:rPr>
        <w:t xml:space="preserve">Fazlar bir ölçek değil, olgunluk sırasıdır.</w:t>
      </w:r>
      <w:r>
        <w:rPr>
          <w:rFonts w:ascii="Calibri" w:cs="Calibri" w:eastAsia="Calibri" w:hAnsi="Calibri"/>
          <w:sz w:val="22"/>
          <w:szCs w:val="22"/>
        </w:rPr>
        <w:t xml:space="preserve"> Aralarındaki mesafenin eşit olduğu raporda belirtilmez; 1–4 sayısal karşılığı kaba bir yaklaşımdır.</w:t>
      </w:r>
    </w:p>
    <w:p>
      <w:pPr>
        <w:pStyle w:val="ListParagraph"/>
        <w:numPr>
          <w:ilvl w:val="0"/>
          <w:numId w:val="2"/>
        </w:numPr>
        <w:spacing w:after="80" w:line="280"/>
      </w:pPr>
      <w:r>
        <w:rPr>
          <w:rFonts w:ascii="Calibri" w:cs="Calibri" w:eastAsia="Calibri" w:hAnsi="Calibri"/>
          <w:b/>
          <w:bCs/>
          <w:sz w:val="22"/>
          <w:szCs w:val="22"/>
        </w:rPr>
        <w:t xml:space="preserve">Paydaş farklarına bakın.</w:t>
      </w:r>
      <w:r>
        <w:rPr>
          <w:rFonts w:ascii="Calibri" w:cs="Calibri" w:eastAsia="Calibri" w:hAnsi="Calibri"/>
          <w:sz w:val="22"/>
          <w:szCs w:val="22"/>
        </w:rPr>
        <w:t xml:space="preserve"> Aynı faktör için İK ile operasyonel yöneticiler farklı fazlar işaret ediyorsa bu bir uyuşmazlık değil, konuşmanın başlangıcıdır.</w:t>
      </w:r>
    </w:p>
    <w:p>
      <w:pPr>
        <w:pStyle w:val="ListParagraph"/>
        <w:numPr>
          <w:ilvl w:val="0"/>
          <w:numId w:val="2"/>
        </w:numPr>
        <w:spacing w:after="80" w:line="280"/>
      </w:pPr>
      <w:r>
        <w:rPr>
          <w:rFonts w:ascii="Calibri" w:cs="Calibri" w:eastAsia="Calibri" w:hAnsi="Calibri"/>
          <w:b/>
          <w:bCs/>
          <w:sz w:val="22"/>
          <w:szCs w:val="22"/>
        </w:rPr>
        <w:t xml:space="preserve">Kümeleri birlikte düşünün.</w:t>
      </w:r>
      <w:r>
        <w:rPr>
          <w:rFonts w:ascii="Calibri" w:cs="Calibri" w:eastAsia="Calibri" w:hAnsi="Calibri"/>
          <w:sz w:val="22"/>
          <w:szCs w:val="22"/>
        </w:rPr>
        <w:t xml:space="preserve"> Tek bir kümede yüksek düzey yeterli değildir.</w:t>
      </w:r>
    </w:p>
    <w:p>
      <w:pPr>
        <w:pStyle w:val="ListParagraph"/>
        <w:numPr>
          <w:ilvl w:val="0"/>
          <w:numId w:val="2"/>
        </w:numPr>
        <w:spacing w:after="80" w:line="280"/>
      </w:pPr>
      <w:r>
        <w:rPr>
          <w:rFonts w:ascii="Calibri" w:cs="Calibri" w:eastAsia="Calibri" w:hAnsi="Calibri"/>
          <w:b/>
          <w:bCs/>
          <w:sz w:val="22"/>
          <w:szCs w:val="22"/>
        </w:rPr>
        <w:t xml:space="preserve">İfade ile uygulamayı ayırın.</w:t>
      </w:r>
      <w:r>
        <w:rPr>
          <w:rFonts w:ascii="Calibri" w:cs="Calibri" w:eastAsia="Calibri" w:hAnsi="Calibri"/>
          <w:sz w:val="22"/>
          <w:szCs w:val="22"/>
        </w:rPr>
        <w:t xml:space="preserve"> Bazı ifadeler kurumun bir şeyi “kabul ettiğini”, bazıları somut bir şeye “sahip olduğunu” söyler; ilk grup için kanıt (karar, politika metni, uygulama) isteyin.</w:t>
      </w:r>
    </w:p>
    <w:p>
      <w:pPr>
        <w:pStyle w:val="ListParagraph"/>
        <w:numPr>
          <w:ilvl w:val="0"/>
          <w:numId w:val="2"/>
        </w:numPr>
        <w:spacing w:after="80" w:line="280"/>
      </w:pPr>
      <w:r>
        <w:rPr>
          <w:rFonts w:ascii="Calibri" w:cs="Calibri" w:eastAsia="Calibri" w:hAnsi="Calibri"/>
          <w:b/>
          <w:bCs/>
          <w:sz w:val="22"/>
          <w:szCs w:val="22"/>
        </w:rPr>
        <w:t xml:space="preserve">İyileştirme döngüsünü kapatın.</w:t>
      </w:r>
      <w:r>
        <w:rPr>
          <w:rFonts w:ascii="Calibri" w:cs="Calibri" w:eastAsia="Calibri" w:hAnsi="Calibri"/>
          <w:sz w:val="22"/>
          <w:szCs w:val="22"/>
        </w:rPr>
        <w:t xml:space="preserve"> Aynı ölçümü periyodik olarak tekrarlayarak ilerlemeyi izleyin.</w:t>
      </w:r>
    </w:p>
    <w:p>
      <w:pPr>
        <w:spacing w:after="140" w:line="288"/>
        <w:jc w:val="left"/>
      </w:pPr>
      <w:r>
        <w:rPr>
          <w:rFonts w:ascii="Calibri" w:cs="Calibri" w:eastAsia="Calibri" w:hAnsi="Calibri"/>
          <w:sz w:val="22"/>
          <w:szCs w:val="22"/>
        </w:rPr>
        <w:t xml:space="preserve">Sınırlamalar açıktır. Rapor bir metrik belgesi değildir: Formül, birim, puanlama ya da eşik içermez; faz karşılıkları, açık, ilerleme yüzdesi ve öncelik puanı rehber sayfasının türetmesidir. Anket metriklerine dair seçenekler (Ek A.2) belgede yer almaz. Faktörler arası ağırlık verilmez; küme ve genel ortalamalar tüm faktörleri eşit sayar. Faktörlerin ifade sayısı eşit değildir (6.4’te bir, 8.6’da beş); ifade sayısı faktör ağırlığı olarak okunmamalıdır. Raporun amacı kurumları birbiriyle karşılaştırmak değil, her kurumun kendi mevcut ve istenen durumunu uzlaştırmasıdır.</w:t>
      </w:r>
    </w:p>
    <w:p>
      <w:pPr>
        <w:spacing w:after="140" w:line="288"/>
        <w:jc w:val="left"/>
      </w:pPr>
      <w:r>
        <w:rPr>
          <w:rFonts w:ascii="Calibri" w:cs="Calibri" w:eastAsia="Calibri" w:hAnsi="Calibri"/>
          <w:sz w:val="22"/>
          <w:szCs w:val="22"/>
        </w:rPr>
        <w:t xml:space="preserve">Raporlamada kurul ve üst yönetim küme düzeyinde özeti, en yüksek öncelikli faktörleri ve faz açıklarını, stratejiyle ilişkiyi ve eylem planını bir skor kartında görür. İK ve eğitim birimleri faktör düzeyinde mevcut ve istenen fazı, anket yanıt oranını, paydaş farklarını ve beceri envanterini görür. Hat yönetimi kendi birimlerinin sonuçlarını ve yönetici–işgücü görüşme konularını (KSA, iş içeriği, sağlık dengesi) görür. Raporun kendi ifadesiyle, İK ile yönetim kurulu, yönetim, operasyon ve iş sağlığı ve güvenliği arasında bir konuşma başlatmak ve bunu stratejik ve kısa–orta vadeli hedeflerle bağlamak raporun asıl işlevidir.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7"/>
        </w:numPr>
        <w:spacing w:after="80" w:line="280"/>
      </w:pPr>
      <w:r>
        <w:rPr>
          <w:rFonts w:ascii="Calibri" w:cs="Calibri" w:eastAsia="Calibri" w:hAnsi="Calibri"/>
          <w:sz w:val="22"/>
          <w:szCs w:val="22"/>
        </w:rPr>
        <w:t xml:space="preserve">Önkoşulları gözden geçirin: güvenli koşullar, yapısal iş danışması, yıllık değerlendirmeler, aktif İK ve İSG politikası, üst yönetim desteği.</w:t>
      </w:r>
    </w:p>
    <w:p>
      <w:pPr>
        <w:pStyle w:val="ListParagraph"/>
        <w:numPr>
          <w:ilvl w:val="0"/>
          <w:numId w:val="7"/>
        </w:numPr>
        <w:spacing w:after="80" w:line="280"/>
      </w:pPr>
      <w:r>
        <w:rPr>
          <w:rFonts w:ascii="Calibri" w:cs="Calibri" w:eastAsia="Calibri" w:hAnsi="Calibri"/>
          <w:sz w:val="22"/>
          <w:szCs w:val="22"/>
        </w:rPr>
        <w:t xml:space="preserve">Çalışma grubunu ve paydaşları belirleyin; proje ve iletişim planı hazırlayın.</w:t>
      </w:r>
    </w:p>
    <w:p>
      <w:pPr>
        <w:pStyle w:val="ListParagraph"/>
        <w:numPr>
          <w:ilvl w:val="0"/>
          <w:numId w:val="7"/>
        </w:numPr>
        <w:spacing w:after="80" w:line="280"/>
      </w:pPr>
      <w:r>
        <w:rPr>
          <w:rFonts w:ascii="Calibri" w:cs="Calibri" w:eastAsia="Calibri" w:hAnsi="Calibri"/>
          <w:sz w:val="22"/>
          <w:szCs w:val="22"/>
        </w:rPr>
        <w:t xml:space="preserve">20 faktörün önemini belirleyin (Adım 1): öncelik düşük, orta ya da yüksek.</w:t>
      </w:r>
    </w:p>
    <w:p>
      <w:pPr>
        <w:pStyle w:val="ListParagraph"/>
        <w:numPr>
          <w:ilvl w:val="0"/>
          <w:numId w:val="7"/>
        </w:numPr>
        <w:spacing w:after="80" w:line="280"/>
      </w:pPr>
      <w:r>
        <w:rPr>
          <w:rFonts w:ascii="Calibri" w:cs="Calibri" w:eastAsia="Calibri" w:hAnsi="Calibri"/>
          <w:sz w:val="22"/>
          <w:szCs w:val="22"/>
        </w:rPr>
        <w:t xml:space="preserve">İfadeleri kendi ölçeğinizle puanlayacak bir anket tasarlayın ve pilotlayın.</w:t>
      </w:r>
    </w:p>
    <w:p>
      <w:pPr>
        <w:pStyle w:val="ListParagraph"/>
        <w:numPr>
          <w:ilvl w:val="0"/>
          <w:numId w:val="7"/>
        </w:numPr>
        <w:spacing w:after="80" w:line="280"/>
      </w:pPr>
      <w:r>
        <w:rPr>
          <w:rFonts w:ascii="Calibri" w:cs="Calibri" w:eastAsia="Calibri" w:hAnsi="Calibri"/>
          <w:sz w:val="22"/>
          <w:szCs w:val="22"/>
        </w:rPr>
        <w:t xml:space="preserve">Her faktör için mevcut fazı belirleyin (Adım 2) ve yanıt oranını izleyin.</w:t>
      </w:r>
    </w:p>
    <w:p>
      <w:pPr>
        <w:pStyle w:val="ListParagraph"/>
        <w:numPr>
          <w:ilvl w:val="0"/>
          <w:numId w:val="7"/>
        </w:numPr>
        <w:spacing w:after="80" w:line="280"/>
      </w:pPr>
      <w:r>
        <w:rPr>
          <w:rFonts w:ascii="Calibri" w:cs="Calibri" w:eastAsia="Calibri" w:hAnsi="Calibri"/>
          <w:sz w:val="22"/>
          <w:szCs w:val="22"/>
        </w:rPr>
        <w:t xml:space="preserve">İstenen fazı ve farkı belirleyin (Adım 3); açığı öncelikle birlikte okuyun.</w:t>
      </w:r>
    </w:p>
    <w:p>
      <w:pPr>
        <w:pStyle w:val="ListParagraph"/>
        <w:numPr>
          <w:ilvl w:val="0"/>
          <w:numId w:val="7"/>
        </w:numPr>
        <w:spacing w:after="80" w:line="280"/>
      </w:pPr>
      <w:r>
        <w:rPr>
          <w:rFonts w:ascii="Calibri" w:cs="Calibri" w:eastAsia="Calibri" w:hAnsi="Calibri"/>
          <w:sz w:val="22"/>
          <w:szCs w:val="22"/>
        </w:rPr>
        <w:t xml:space="preserve">Paydaşlarla toplantı yapın ve ortak vizyon üzerinde uzlaşın.</w:t>
      </w:r>
    </w:p>
    <w:p>
      <w:pPr>
        <w:pStyle w:val="ListParagraph"/>
        <w:numPr>
          <w:ilvl w:val="0"/>
          <w:numId w:val="7"/>
        </w:numPr>
        <w:spacing w:after="80" w:line="280"/>
      </w:pPr>
      <w:r>
        <w:rPr>
          <w:rFonts w:ascii="Calibri" w:cs="Calibri" w:eastAsia="Calibri" w:hAnsi="Calibri"/>
          <w:sz w:val="22"/>
          <w:szCs w:val="22"/>
        </w:rPr>
        <w:t xml:space="preserve">Eylem planını uygulayın ve döngüyü sürdürün (Adım 4).</w:t>
      </w:r>
    </w:p>
    <w:p>
      <w:pPr>
        <w:pStyle w:val="Heading1"/>
        <w:keepNext/>
        <w:pageBreakBefore/>
        <w:spacing w:after="100" w:before="0"/>
      </w:pPr>
      <w:r>
        <w:rPr>
          <w:rFonts w:ascii="Calibri" w:cs="Calibri" w:eastAsia="Calibri" w:hAnsi="Calibri"/>
          <w:b/>
          <w:bCs/>
          <w:color w:val="0B5C8A"/>
          <w:sz w:val="34"/>
          <w:szCs w:val="34"/>
        </w:rPr>
        <w:t xml:space="preserve">Kısım 4’ün Özeti ve Kısım 5’e Geçiş</w:t>
      </w:r>
    </w:p>
    <w:p>
      <w:pPr>
        <w:keepNext/>
        <w:pBdr>
          <w:bottom w:val="single" w:color="0B5C8A" w:sz="8" w:space="6"/>
        </w:pBdr>
        <w:spacing w:after="220"/>
      </w:pPr>
      <w:r>
        <w:rPr>
          <w:rFonts w:ascii="Calibri" w:cs="Calibri" w:eastAsia="Calibri" w:hAnsi="Calibri"/>
          <w:i/>
          <w:iCs/>
          <w:color w:val="59636F"/>
          <w:sz w:val="26"/>
          <w:szCs w:val="26"/>
        </w:rPr>
        <w:t xml:space="preserve">Öğrenme, yetkinlik, liderlik ve sürdürülebilir istihdam edilebilirlik tek bir sistem olarak.</w:t>
      </w:r>
    </w:p>
    <w:p>
      <w:pPr>
        <w:spacing w:after="140" w:line="288"/>
        <w:jc w:val="left"/>
      </w:pPr>
      <w:r>
        <w:rPr>
          <w:rFonts w:ascii="Calibri" w:cs="Calibri" w:eastAsia="Calibri" w:hAnsi="Calibri"/>
          <w:sz w:val="22"/>
          <w:szCs w:val="22"/>
        </w:rPr>
        <w:t xml:space="preserve">Bu kısımda öğrenme ve gelişimi bir yatırım zinciri olarak ele aldık. ISO 30422 süreci tanımladı: ihtiyaç belirleme, planlama, uygulama ve değerlendirme; hiçbir yöntemin diğerinden üstün olmadığı, öğrenmenin üç zamanda ve geçerli, güvenilir ve adil biçimde ölçülmesi gerektiği. ISO/TS 30437 hangi metriğin kime, hangi amaçla uygun olduğunu söyleyen seçim çerçevesini verdi: dört karar, üç metrik türü ve beş düzey. ISO/TS 30428 maliyet, katılım, saat, kategori ve yetkinlik göstergelerini tanımladı. ISO/TS 30431 liderlik güveni, kontrol alanı ve liderlik gelişimini ele aldı. ISO/TR 30406 ise işgücünün uzun vadeli çalışabilirliğini 20 faktör ve faz modeliyle değerlendirmeyi önerdi.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500"/>
        <w:gridCol w:w="27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süreci iyi işliyor mu?</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zamanlı ölçüm, kalıcılık</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30422</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Ö&amp;G birimi: süreç iyileştirme</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Doğru metrikleri mi seçtik?</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Dengeli küme, Kirkpatrick düzeyleri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30437</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Ö&amp;G: raporlama tasarımı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 kadar yatırım yapıyoruz, kime ulaşıyoruz?</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Maliyet, katılım, saat, kategori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 ve İK: bütçe ve strateji hizası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ne kadar yetkin?</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yetkinlik oranı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Hat yönetimi ve İK: açık kapatma</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Liderlere güveniliyor mu, liderler yetişiyor mu?</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Güven endeksi, kontrol alanı, gelişim yüzdesi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30431</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yönetim yapısı ve yedekleme</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uzun vadede çalışabilir kalıyor mu?</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Faz açığı, öncelik puanı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ISO/TR 30406</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İK: stratejik politika</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8"/>
        </w:numPr>
        <w:spacing w:after="80" w:line="280"/>
      </w:pPr>
      <w:r>
        <w:rPr>
          <w:rFonts w:ascii="Calibri" w:cs="Calibri" w:eastAsia="Calibri" w:hAnsi="Calibri"/>
          <w:b/>
          <w:bCs/>
          <w:sz w:val="22"/>
          <w:szCs w:val="22"/>
        </w:rPr>
        <w:t xml:space="preserve">Girişi değil, sonucu ölçün.</w:t>
      </w:r>
      <w:r>
        <w:rPr>
          <w:rFonts w:ascii="Calibri" w:cs="Calibri" w:eastAsia="Calibri" w:hAnsi="Calibri"/>
          <w:sz w:val="22"/>
          <w:szCs w:val="22"/>
        </w:rPr>
        <w:t xml:space="preserve"> Saat, harcama ve katılım maruz kalmayı gösterir; öğrenmeyi, uygulamayı ve sonucu ayrıca ölçmek gerekir.</w:t>
      </w:r>
    </w:p>
    <w:p>
      <w:pPr>
        <w:pStyle w:val="ListParagraph"/>
        <w:numPr>
          <w:ilvl w:val="0"/>
          <w:numId w:val="8"/>
        </w:numPr>
        <w:spacing w:after="80" w:line="280"/>
      </w:pPr>
      <w:r>
        <w:rPr>
          <w:rFonts w:ascii="Calibri" w:cs="Calibri" w:eastAsia="Calibri" w:hAnsi="Calibri"/>
          <w:b/>
          <w:bCs/>
          <w:sz w:val="22"/>
          <w:szCs w:val="22"/>
        </w:rPr>
        <w:t xml:space="preserve">Manşet sayının arkasına bakın.</w:t>
      </w:r>
      <w:r>
        <w:rPr>
          <w:rFonts w:ascii="Calibri" w:cs="Calibri" w:eastAsia="Calibri" w:hAnsi="Calibri"/>
          <w:sz w:val="22"/>
          <w:szCs w:val="22"/>
        </w:rPr>
        <w:t xml:space="preserve"> %96,5’lik katılım, %52’lik uyum dışı katılımı gizleyebilir; 12,6’lık kontrol alanı, 30’dan fazla astı olan yöneticileri gizleyebilir.</w:t>
      </w:r>
    </w:p>
    <w:p>
      <w:pPr>
        <w:pStyle w:val="ListParagraph"/>
        <w:numPr>
          <w:ilvl w:val="0"/>
          <w:numId w:val="8"/>
        </w:numPr>
        <w:spacing w:after="80" w:line="280"/>
      </w:pPr>
      <w:r>
        <w:rPr>
          <w:rFonts w:ascii="Calibri" w:cs="Calibri" w:eastAsia="Calibri" w:hAnsi="Calibri"/>
          <w:b/>
          <w:bCs/>
          <w:sz w:val="22"/>
          <w:szCs w:val="22"/>
        </w:rPr>
        <w:t xml:space="preserve">Tanımları yazın ve değiştirmeyin.</w:t>
      </w:r>
      <w:r>
        <w:rPr>
          <w:rFonts w:ascii="Calibri" w:cs="Calibri" w:eastAsia="Calibri" w:hAnsi="Calibri"/>
          <w:sz w:val="22"/>
          <w:szCs w:val="22"/>
        </w:rPr>
        <w:t xml:space="preserve"> “Katılım”, “çalışan”, “maliyet”, “lider” ve “biçimsel eğitim” tanımları dönemler boyunca sabit kalmalıdır.</w:t>
      </w:r>
    </w:p>
    <w:p>
      <w:pPr>
        <w:pStyle w:val="ListParagraph"/>
        <w:numPr>
          <w:ilvl w:val="0"/>
          <w:numId w:val="8"/>
        </w:numPr>
        <w:spacing w:after="80" w:line="280"/>
      </w:pPr>
      <w:r>
        <w:rPr>
          <w:rFonts w:ascii="Calibri" w:cs="Calibri" w:eastAsia="Calibri" w:hAnsi="Calibri"/>
          <w:b/>
          <w:bCs/>
          <w:sz w:val="22"/>
          <w:szCs w:val="22"/>
        </w:rPr>
        <w:t xml:space="preserve">Fırsat maliyetini açıkça belirtin.</w:t>
      </w:r>
      <w:r>
        <w:rPr>
          <w:rFonts w:ascii="Calibri" w:cs="Calibri" w:eastAsia="Calibri" w:hAnsi="Calibri"/>
          <w:sz w:val="22"/>
          <w:szCs w:val="22"/>
        </w:rPr>
        <w:t xml:space="preserve"> Dahil edip etmediğiniz YG ve maliyet sonuçlarını kökten değiştirir.</w:t>
      </w:r>
    </w:p>
    <w:p>
      <w:pPr>
        <w:pStyle w:val="ListParagraph"/>
        <w:numPr>
          <w:ilvl w:val="0"/>
          <w:numId w:val="8"/>
        </w:numPr>
        <w:spacing w:after="80" w:line="280"/>
      </w:pPr>
      <w:r>
        <w:rPr>
          <w:rFonts w:ascii="Calibri" w:cs="Calibri" w:eastAsia="Calibri" w:hAnsi="Calibri"/>
          <w:b/>
          <w:bCs/>
          <w:sz w:val="22"/>
          <w:szCs w:val="22"/>
        </w:rPr>
        <w:t xml:space="preserve">Yöntem tutarlılığı kıyaslamanın ön şartıdır.</w:t>
      </w:r>
      <w:r>
        <w:rPr>
          <w:rFonts w:ascii="Calibri" w:cs="Calibri" w:eastAsia="Calibri" w:hAnsi="Calibri"/>
          <w:sz w:val="22"/>
          <w:szCs w:val="22"/>
        </w:rPr>
        <w:t xml:space="preserve"> Anket ölçeği, yetkinlik ölçeği ve faz tanımı seri boyunca aynı olmalıdır.</w:t>
      </w:r>
    </w:p>
    <w:p>
      <w:pPr>
        <w:pStyle w:val="ListParagraph"/>
        <w:numPr>
          <w:ilvl w:val="0"/>
          <w:numId w:val="8"/>
        </w:numPr>
        <w:spacing w:after="80" w:line="280"/>
      </w:pPr>
      <w:r>
        <w:rPr>
          <w:rFonts w:ascii="Calibri" w:cs="Calibri" w:eastAsia="Calibri" w:hAnsi="Calibri"/>
          <w:b/>
          <w:bCs/>
          <w:sz w:val="22"/>
          <w:szCs w:val="22"/>
        </w:rPr>
        <w:t xml:space="preserve">Bağlamı sayının yanına yazın.</w:t>
      </w:r>
      <w:r>
        <w:rPr>
          <w:rFonts w:ascii="Calibri" w:cs="Calibri" w:eastAsia="Calibri" w:hAnsi="Calibri"/>
          <w:sz w:val="22"/>
          <w:szCs w:val="22"/>
        </w:rPr>
        <w:t xml:space="preserve"> FTE değişimi, yeniden yapılanma, ekonomik koşullar ve hedeflerin zorluğu sonucun anlamını değiştirir.</w:t>
      </w:r>
    </w:p>
    <w:p>
      <w:pPr>
        <w:pStyle w:val="ListParagraph"/>
        <w:numPr>
          <w:ilvl w:val="0"/>
          <w:numId w:val="8"/>
        </w:numPr>
        <w:spacing w:after="80" w:line="280"/>
      </w:pPr>
      <w:r>
        <w:rPr>
          <w:rFonts w:ascii="Calibri" w:cs="Calibri" w:eastAsia="Calibri" w:hAnsi="Calibri"/>
          <w:b/>
          <w:bCs/>
          <w:sz w:val="22"/>
          <w:szCs w:val="22"/>
        </w:rPr>
        <w:t xml:space="preserve">Ölçümü cezalandırma için değil, iyileştirme için yapın.</w:t>
      </w:r>
    </w:p>
    <w:p>
      <w:pPr>
        <w:spacing w:after="140" w:line="288"/>
        <w:jc w:val="left"/>
      </w:pPr>
      <w:r>
        <w:rPr>
          <w:rFonts w:ascii="Calibri" w:cs="Calibri" w:eastAsia="Calibri" w:hAnsi="Calibri"/>
          <w:sz w:val="22"/>
          <w:szCs w:val="22"/>
        </w:rPr>
        <w:t xml:space="preserve">Bu ilkelerin çoğu, Kısım 1’deki güvenilir veri ve Kısım 3’teki işe alım metriklerinde de karşımıza çıkmıştı: Ölçümün değeri sayının büyüklüğünden çok, nasıl tanımlandığına ve hangi bağlamda okunduğuna bağlıdır.</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Dört bölümün tamamını bir anda uygulamak çoğu kurum için gerçekçi değildir. Önerilen sıra şudur. İlk üç ayda eğitim verisinin tek bir kayıt sisteminde toplanmasını sağlayın; maliyet kapsamı, biçimsel eğitim ve çalışan tanımını yazın ve toplam maliyet, tekil katılım ve çalışan başına saati hesaplayın (4.3). Sonraki üç ayda kategori ve uyum ayrımını kurup ilk skor kartını üretin; metrik setini dengeli küme kuralına göre denetleyin (4.2). Altıncı aydan itibaren öne çıkan birkaç programda üç zamanlı öğrenme ölçümünü başlatın (4.1). Yılın ikinci yarısında yetkinlik ölçeğini kurup ilk yetkinlik oranını hesaplayın ve liderlik güveni anketi ile kontrol alanını ekleyin (4.3 ve 4.4). Bir yıl sonunda, sürdürülebilir istihdam edilebilirlik değerlendirmesini önce beş ya da on faktörde pilotlayın (4.5).</w:t>
      </w:r>
    </w:p>
    <w:p>
      <w:pPr>
        <w:spacing w:after="140" w:line="288"/>
        <w:jc w:val="left"/>
      </w:pPr>
      <w:r>
        <w:rPr>
          <w:rFonts w:ascii="Calibri" w:cs="Calibri" w:eastAsia="Calibri" w:hAnsi="Calibri"/>
          <w:sz w:val="22"/>
          <w:szCs w:val="22"/>
        </w:rPr>
        <w:t xml:space="preserve">Bu kısımdaki metriklerin ortak bir önemli özelliği de zaman ufuklarıdır. Katılım ve saat gibi göstergeler haftalar içinde değişir; yetkinlik oranı aylar, liderlik güveni ve gelişimi yıllar, sürdürülebilir istihdam edilebilirlik ise yıllar boyunca değişir. Bu nedenle skor kartları hazırlanırken her metrik için uygun ölçüm sıklığı belirlenmelidir: Çeyreklik ölçülen bir maliyet göstergesi ile yıllık ölçülen bir güven endeksi aynı panelde yer alabilir, ama aynı hızla hareket etmesi beklenmemelidir.</w:t>
      </w:r>
    </w:p>
    <w:p>
      <w:pPr>
        <w:pStyle w:val="Heading3"/>
        <w:keepNext/>
        <w:spacing w:after="80" w:before="220"/>
      </w:pPr>
      <w:r>
        <w:rPr>
          <w:rFonts w:ascii="Calibri" w:cs="Calibri" w:eastAsia="Calibri" w:hAnsi="Calibri"/>
          <w:b/>
          <w:bCs/>
          <w:color w:val="0B5C8A"/>
          <w:sz w:val="23"/>
          <w:szCs w:val="23"/>
        </w:rPr>
        <w:t xml:space="preserve">Kısım 5’e geçiş</w:t>
      </w:r>
    </w:p>
    <w:p>
      <w:pPr>
        <w:spacing w:after="140" w:line="288"/>
        <w:jc w:val="left"/>
      </w:pPr>
      <w:r>
        <w:rPr>
          <w:rFonts w:ascii="Calibri" w:cs="Calibri" w:eastAsia="Calibri" w:hAnsi="Calibri"/>
          <w:sz w:val="22"/>
          <w:szCs w:val="22"/>
        </w:rPr>
        <w:t xml:space="preserve">Yetkin ve gelişen bir işgücü kurumun en değerli varlıklarından biridir; ama bu varlığın değeri, çalışanların kurumda kalmaya, bağlanmaya ve iyi olmaya devam etmesine bağlıdır. Kısım 4’ün son bölümünde Küme 3’ün sağlık ve canlılık faktörleri bu konuya işaret etti. Bir sonraki kısım, çalışan deneyimini ele alır: çalışan bağlılığı, örgüt kültürü, çeşitlilik ve kapsayıcılık, iş sağlığı ve güvenliği ile işgücü devri ve elde tutma. Öğrenme yatırımının getirisini son kertede belirleyen, çalışanın o yatırımla birlikte kurumda kalıp kalmadığıdır.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Kısım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2026-10-13T10:08:14.021Z</dcterms:created>
  <dcterms:modified xsi:type="dcterms:W3CDTF">2026-10-13T10:08:14.021Z</dcterms:modified>
</cp:coreProperties>
</file>

<file path=docProps/custom.xml><?xml version="1.0" encoding="utf-8"?>
<Properties xmlns="http://schemas.openxmlformats.org/officeDocument/2006/custom-properties" xmlns:vt="http://schemas.openxmlformats.org/officeDocument/2006/docPropsVTypes"/>
</file>