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B5C8A"/>
          <w:sz w:val="22"/>
          <w:szCs w:val="22"/>
        </w:rPr>
        <w:t xml:space="preserve">KISIM 1</w:t>
      </w:r>
    </w:p>
    <w:p>
      <w:pPr>
        <w:pStyle w:val="Title"/>
        <w:spacing w:after="200"/>
      </w:pPr>
      <w:r>
        <w:rPr>
          <w:rFonts w:ascii="Calibri" w:cs="Calibri" w:eastAsia="Calibri" w:hAnsi="Calibri"/>
          <w:b/>
          <w:bCs/>
          <w:sz w:val="48"/>
          <w:szCs w:val="48"/>
        </w:rPr>
        <w:t xml:space="preserve">Temeller: Çerçeve, Yönetişim ve Güvenilir Veri</w:t>
      </w:r>
    </w:p>
    <w:p>
      <w:pPr>
        <w:keepNext/>
        <w:pBdr>
          <w:bottom w:val="single" w:color="0B5C8A" w:sz="8" w:space="6"/>
        </w:pBdr>
        <w:spacing w:after="220"/>
      </w:pPr>
      <w:r>
        <w:rPr>
          <w:rFonts w:ascii="Calibri" w:cs="Calibri" w:eastAsia="Calibri" w:hAnsi="Calibri"/>
          <w:i/>
          <w:iCs/>
          <w:color w:val="59636F"/>
          <w:sz w:val="26"/>
          <w:szCs w:val="26"/>
        </w:rPr>
        <w:t xml:space="preserve">İK’nın ölçüm ve raporlama zemini; sonraki kısımların ortak dili.</w:t>
      </w:r>
    </w:p>
    <w:p>
      <w:pPr>
        <w:spacing w:after="140" w:line="288"/>
        <w:jc w:val="left"/>
      </w:pPr>
      <w:r>
        <w:rPr>
          <w:rFonts w:ascii="Calibri" w:cs="Calibri" w:eastAsia="Calibri" w:hAnsi="Calibri"/>
          <w:sz w:val="22"/>
          <w:szCs w:val="22"/>
        </w:rPr>
        <w:t xml:space="preserve">Bir binanın kalitesi çoğu zaman görünmeyen yerinde, temelinde belli olur. İnsan kaynakları ölçümü için de durum aynıdır: Devir oranı, yedekleme derinliği ya da eğitim yatırımı gibi görünür göstergelerin güvenilirliği; hangi çerçevede raporlandığına, kimin hesap verdiğine, verinin ne kadar doğru olduğuna ve kurumun kurallara nasıl uyduğuna bağlıdır. Bu kısım, ölçümün bu dört temel sorusunu ele alır ve kitabın geri kalan bölümlerinin ortak dilini kurar.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2600"/>
        <w:gridCol w:w="2638"/>
      </w:tblGrid>
      <w:tr>
        <w:trPr>
          <w:cantSplit/>
          <w:tblHeader/>
        </w:trPr>
        <w:tc>
          <w:tcPr>
            <w:tcW w:type="dxa" w:w="2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Bölüm</w:t>
            </w:r>
          </w:p>
        </w:tc>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Rehber</w:t>
            </w:r>
          </w:p>
        </w:tc>
        <w:tc>
          <w:tcPr>
            <w:tcW w:type="dxa" w:w="26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Temel soru</w:t>
            </w:r>
          </w:p>
        </w:tc>
        <w:tc>
          <w:tcPr>
            <w:tcW w:type="dxa" w:w="2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Ana çıktı</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1.1  İnsan Sermayesi Raporlama ve Açıklama</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30414</w:t>
            </w:r>
          </w:p>
        </w:tc>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Neyi, kime, hangi çerçevede raporlayacağız?</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11 alan, 70 kalemlik metrik matrisi, TCFD tabanlı açıklama</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1.2  İnsan Yönetişimi Rehberi</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30408</w:t>
            </w:r>
          </w:p>
        </w:tc>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İnsanlarla ilgili kararlar için kim hesap verir?</w:t>
            </w:r>
          </w:p>
        </w:tc>
        <w:tc>
          <w:tcPr>
            <w:tcW w:type="dxa" w:w="2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İlkeler, roller, hedef ve ölçü sistemi, değer uyumu</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1.3  İşgücü Veri Kalitesi Rehberi ve Metrikleri</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30435</w:t>
            </w:r>
          </w:p>
        </w:tc>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Rakamlarımıza güvenebilir miyiz?</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Beş veri kalitesi unsuru, örnekleme ve tolerans</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1.4  Uyum ve Etik Metrikleri Kümesi</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30423</w:t>
            </w:r>
          </w:p>
        </w:tc>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Kurallara ve etiğe uyduğumuzu nasıl gösteririz?</w:t>
            </w:r>
          </w:p>
        </w:tc>
        <w:tc>
          <w:tcPr>
            <w:tcW w:type="dxa" w:w="2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Şikâyet, disiplin, eğitim ve dış bulgu metrikleri</w:t>
            </w:r>
          </w:p>
        </w:tc>
      </w:tr>
    </w:tbl>
    <w:p>
      <w:pPr>
        <w:spacing w:after="140"/>
      </w:pPr>
    </w:p>
    <w:p>
      <w:pPr>
        <w:pStyle w:val="Heading3"/>
        <w:keepNext/>
        <w:spacing w:after="80" w:before="220"/>
      </w:pPr>
      <w:r>
        <w:rPr>
          <w:rFonts w:ascii="Calibri" w:cs="Calibri" w:eastAsia="Calibri" w:hAnsi="Calibri"/>
          <w:b/>
          <w:bCs/>
          <w:color w:val="0B5C8A"/>
          <w:sz w:val="23"/>
          <w:szCs w:val="23"/>
        </w:rPr>
        <w:t xml:space="preserve">Bu kısım neden başta?</w:t>
      </w:r>
    </w:p>
    <w:p>
      <w:pPr>
        <w:spacing w:after="140" w:line="288"/>
        <w:jc w:val="left"/>
      </w:pPr>
      <w:r>
        <w:rPr>
          <w:rFonts w:ascii="Calibri" w:cs="Calibri" w:eastAsia="Calibri" w:hAnsi="Calibri"/>
          <w:sz w:val="22"/>
          <w:szCs w:val="22"/>
        </w:rPr>
        <w:t xml:space="preserve">Birçok kurum ölçüme doğrudan hesaplayıcıdan başlar: Bir formül bulur, verisini girer, bir sayı elde eder. Oysa bu sayının raporda nasıl yer alacağını, kime sunulacağını, hangi hedefle karşılaştırılacağını ve dayandığı verinin ne kadar sağlam olduğunu bilmeden yapılan hesap, kısa sürede güven kaybına yol açar. İlk dört rehber bu yüzden bir tür “ön koşul paketi”dir: Çerçeve (1.1), sorumluluk (1.2), veri (1.3) ve uyum (1.4).</w:t>
      </w:r>
    </w:p>
    <w:p>
      <w:pPr>
        <w:spacing w:after="140" w:line="288"/>
        <w:jc w:val="left"/>
      </w:pPr>
      <w:r>
        <w:rPr>
          <w:rFonts w:ascii="Calibri" w:cs="Calibri" w:eastAsia="Calibri" w:hAnsi="Calibri"/>
          <w:sz w:val="22"/>
          <w:szCs w:val="22"/>
        </w:rPr>
        <w:t xml:space="preserve">Dört bölümün birbirini nasıl tamamladığı şöyle özetlenebilir. ISO 30414 (1.1) ne raporlanacağını söyler. ISO 30408 (1.2) bu raporun arkasındaki yönetişim sistemini, yani kimin neden hesap verdiğini tanımlar. ISO 30435 (1.3) raporun dayandığı verinin güvenilirliğini sağlar. ISO/TS 30423 (1.4) ise ISO 30414’ün “uyum, etik ve işgücü ilişkileri” alanının ayrıntılı metriklerini sunar ve sonuçların insan davranışı ve hukuk açısından en hassas olanını ele alır.</w:t>
      </w:r>
    </w:p>
    <w:p>
      <w:pPr>
        <w:pStyle w:val="Heading3"/>
        <w:keepNext/>
        <w:spacing w:after="80" w:before="220"/>
      </w:pPr>
      <w:r>
        <w:rPr>
          <w:rFonts w:ascii="Calibri" w:cs="Calibri" w:eastAsia="Calibri" w:hAnsi="Calibri"/>
          <w:b/>
          <w:bCs/>
          <w:color w:val="0B5C8A"/>
          <w:sz w:val="23"/>
          <w:szCs w:val="23"/>
        </w:rPr>
        <w:t xml:space="preserve">Okuma önerisi</w:t>
      </w:r>
    </w:p>
    <w:p>
      <w:pPr>
        <w:spacing w:after="140" w:line="288"/>
        <w:jc w:val="left"/>
      </w:pPr>
      <w:r>
        <w:rPr>
          <w:rFonts w:ascii="Calibri" w:cs="Calibri" w:eastAsia="Calibri" w:hAnsi="Calibri"/>
          <w:sz w:val="22"/>
          <w:szCs w:val="22"/>
        </w:rPr>
        <w:t xml:space="preserve">Bu kısmı sırayla okumanız en verimlisidir; ancak ihtiyacınıza göre sıra değiştirebilirsiniz. Rapor hazırlıyorsanız 1.1’den başlayıp 1.3’e geçin. Yönetim kuruluna bir insan yönetişimi sistemi önermek istiyorsanız 1.2’den başlayın. Verinizin güvenilirliğinden şüpheleniyorsanız doğrudan 1.3’e gidin. Şikâyet, disiplin ve uyum eğitimi gibi konulardan sorumluysanız 1.4 sizin için başlangıç noktasıdır. Her bölümün sonunda bir uygulama kontrol listesi ve “sonraki adım” notu bulunur.</w:t>
      </w:r>
    </w:p>
    <w:p>
      <w:pPr>
        <w:spacing w:after="140" w:line="288"/>
        <w:jc w:val="left"/>
      </w:pPr>
      <w:r>
        <w:rPr>
          <w:rFonts w:ascii="Calibri" w:cs="Calibri" w:eastAsia="Calibri" w:hAnsi="Calibri"/>
          <w:sz w:val="22"/>
          <w:szCs w:val="22"/>
        </w:rPr>
        <w:t xml:space="preserve">Bölümlerde sayısal örnekler, Ek C’deki yapay veri setinden (“Örnek Anonim Sanayi A.Ş.”, 2025) alınmıştır. Standartların kendisi çoğunlukla formül ya da eşik vermez; verdiği yerde bunu söyler, rehber sayfasının türettiği hesapları ise “türetilmiş” olarak belirtiriz.</w:t>
      </w:r>
    </w:p>
    <w:p>
      <w:pPr>
        <w:pStyle w:val="Heading1"/>
        <w:keepNext/>
        <w:pageBreakBefore/>
        <w:spacing w:after="100" w:before="0"/>
      </w:pPr>
      <w:r>
        <w:rPr>
          <w:rFonts w:ascii="Calibri" w:cs="Calibri" w:eastAsia="Calibri" w:hAnsi="Calibri"/>
          <w:b/>
          <w:bCs/>
          <w:color w:val="0B5C8A"/>
          <w:sz w:val="34"/>
          <w:szCs w:val="34"/>
        </w:rPr>
        <w:t xml:space="preserve">1.1  İnsan Sermayesi Raporlama ve Açıklama</w:t>
      </w:r>
    </w:p>
    <w:p>
      <w:pPr>
        <w:keepNext/>
        <w:pBdr>
          <w:bottom w:val="single" w:color="0B5C8A" w:sz="8" w:space="6"/>
        </w:pBdr>
        <w:spacing w:after="220"/>
      </w:pPr>
      <w:r>
        <w:rPr>
          <w:rFonts w:ascii="Calibri" w:cs="Calibri" w:eastAsia="Calibri" w:hAnsi="Calibri"/>
          <w:i/>
          <w:iCs/>
          <w:color w:val="59636F"/>
          <w:sz w:val="26"/>
          <w:szCs w:val="26"/>
        </w:rPr>
        <w:t xml:space="preserve">İç ve dış insan sermayesi raporlamasının çerçevesi · ISO 30414</w:t>
      </w:r>
    </w:p>
    <w:p>
      <w:pPr>
        <w:spacing w:after="140" w:line="288"/>
        <w:jc w:val="left"/>
      </w:pPr>
      <w:r>
        <w:rPr>
          <w:rFonts w:ascii="Calibri" w:cs="Calibri" w:eastAsia="Calibri" w:hAnsi="Calibri"/>
          <w:sz w:val="22"/>
          <w:szCs w:val="22"/>
        </w:rPr>
        <w:t xml:space="preserve">Bu bölüm, kitabın en geniş kapsamlı rehberini, yani ISO 30414:2025’i ele alır. Standart, bu kitaptaki diğer yirmi dört belgeyi bir şemsiye gibi çatar: 11 insan sermayesi alanını tanımlar ve her alanın ayrıntılı metriklerini çoğunlukla başka bir ISO/TS kümesine devreder. Bölümü okuduğunuzda şunları yapabilmelisiniz: insan sermayesi raporlamasının neden ve kimin için yapıldığını açıklamak, zorunlu ve önerilen metrikleri ayırt etmek, TCFD tabanlı dört alanda açıklama kurgulamak ve iç ile dış raporu birbirinden ayırarak planlamak.</w:t>
      </w:r>
    </w:p>
    <w:p>
      <w:pPr>
        <w:pStyle w:val="Heading2"/>
        <w:keepNext/>
        <w:spacing w:after="110" w:before="320"/>
      </w:pPr>
      <w:r>
        <w:rPr>
          <w:rFonts w:ascii="Calibri" w:cs="Calibri" w:eastAsia="Calibri" w:hAnsi="Calibri"/>
          <w:b/>
          <w:bCs/>
          <w:sz w:val="27"/>
          <w:szCs w:val="27"/>
        </w:rPr>
        <w:t xml:space="preserve">1.1.1  Standardın yeri ve amacı</w:t>
      </w:r>
    </w:p>
    <w:p>
      <w:pPr>
        <w:spacing w:after="140" w:line="288"/>
        <w:jc w:val="left"/>
      </w:pPr>
      <w:r>
        <w:rPr>
          <w:rFonts w:ascii="Calibri" w:cs="Calibri" w:eastAsia="Calibri" w:hAnsi="Calibri"/>
          <w:sz w:val="22"/>
          <w:szCs w:val="22"/>
        </w:rPr>
        <w:t xml:space="preserve">ISO 30414:2025, insan sermayesi raporlama ve açıklamasına (HCRD, human capital reporting and disclosure) ilişkin gereklilikler ve önerileri içeren ikinci baskıdır; Ağustos 2025’te yayımlanmıştır. Rehber sayfası BSI uyarlaması olan BS ISO 30414:2025’i kaynak alır ve belgenin ISO/TC 260 tarafından hazırlandığını belirtir. 2018 baskısının yerini alan bu sürümün başlığı “gereklilikler ve öneriler” ifadesini taşır.</w:t>
      </w:r>
    </w:p>
    <w:p>
      <w:pPr>
        <w:spacing w:after="140" w:line="288"/>
        <w:jc w:val="left"/>
      </w:pPr>
      <w:r>
        <w:rPr>
          <w:rFonts w:ascii="Calibri" w:cs="Calibri" w:eastAsia="Calibri" w:hAnsi="Calibri"/>
          <w:sz w:val="22"/>
          <w:szCs w:val="22"/>
        </w:rPr>
        <w:t xml:space="preserve">Standardın temel iddiası şudur: İnsan sermayesi, bir gider kalemi değil, kurum değerinin başlıca kaynağı olan maddi olmayan bir varlığa yapılan yatırımdır. Bu yatırımın ölçülmesi ve raporlanması için ortak, karşılaştırılabilir bir taban gerekir; çünkü yatırımcılar, düzenleyiciler, çalışanlar ve toplum, kurumların insanlarına ne kadar ve nasıl yatırım yaptığını gittikçe daha çok sorguluyor. Belge her boyuttan ve sektörden kuruma yöneliktir; iç ve dış raporlamayı kapsar ve kurumun kontrolündeki etkenlerin ölçülmesine odaklanır.</w:t>
      </w:r>
    </w:p>
    <w:p>
      <w:pPr>
        <w:pStyle w:val="Heading3"/>
        <w:keepNext/>
        <w:spacing w:after="80" w:before="220"/>
      </w:pPr>
      <w:r>
        <w:rPr>
          <w:rFonts w:ascii="Calibri" w:cs="Calibri" w:eastAsia="Calibri" w:hAnsi="Calibri"/>
          <w:b/>
          <w:bCs/>
          <w:color w:val="0B5C8A"/>
          <w:sz w:val="23"/>
          <w:szCs w:val="23"/>
        </w:rPr>
        <w:t xml:space="preserve">Hangi raporlarda kullanılır?</w:t>
      </w:r>
    </w:p>
    <w:p>
      <w:pPr>
        <w:spacing w:after="140" w:line="288"/>
        <w:jc w:val="left"/>
      </w:pPr>
      <w:r>
        <w:rPr>
          <w:rFonts w:ascii="Calibri" w:cs="Calibri" w:eastAsia="Calibri" w:hAnsi="Calibri"/>
          <w:sz w:val="22"/>
          <w:szCs w:val="22"/>
        </w:rPr>
        <w:t xml:space="preserve">Standart; yıllık faaliyet ve finansal raporlar, sürdürülebilirlik ya da ESG raporları, özel insan sermayesi raporları, yönetim beyanları (MD&amp;A, OFR) ve vekâlet belgeleri için bir taban sağlar. İç kullanımda ayrıştırılmış metrikler işgücü yönetimini destekler; dış raporlamada toplulaştırılmış göstergeler yatırımcıyı ve paydaşı bilgilendirir. Raporlama sıklığı, kurumun düzenli raporlama döngüsüyle, genellikle yıllık olarak hizalanır.</w:t>
      </w:r>
    </w:p>
    <w:p>
      <w:pPr>
        <w:pStyle w:val="Heading3"/>
        <w:keepNext/>
        <w:spacing w:after="80" w:before="220"/>
      </w:pPr>
      <w:r>
        <w:rPr>
          <w:rFonts w:ascii="Calibri" w:cs="Calibri" w:eastAsia="Calibri" w:hAnsi="Calibri"/>
          <w:b/>
          <w:bCs/>
          <w:color w:val="0B5C8A"/>
          <w:sz w:val="23"/>
          <w:szCs w:val="23"/>
        </w:rPr>
        <w:t xml:space="preserve">2018’den 2025’e: ne değişti?</w:t>
      </w:r>
    </w:p>
    <w:p>
      <w:pPr>
        <w:spacing w:after="140" w:line="288"/>
        <w:jc w:val="left"/>
      </w:pPr>
      <w:r>
        <w:rPr>
          <w:rFonts w:ascii="Calibri" w:cs="Calibri" w:eastAsia="Calibri" w:hAnsi="Calibri"/>
          <w:sz w:val="22"/>
          <w:szCs w:val="22"/>
        </w:rPr>
        <w:t xml:space="preserve">Rehber sayfası, ikinci baskıdaki başlıca değişiklikleri şöyle özetler:</w:t>
      </w:r>
    </w:p>
    <w:p>
      <w:pPr>
        <w:pStyle w:val="ListParagraph"/>
        <w:numPr>
          <w:ilvl w:val="0"/>
          <w:numId w:val="2"/>
        </w:numPr>
        <w:spacing w:after="80" w:line="280"/>
      </w:pPr>
      <w:r>
        <w:rPr>
          <w:rFonts w:ascii="Calibri" w:cs="Calibri" w:eastAsia="Calibri" w:hAnsi="Calibri"/>
          <w:sz w:val="22"/>
          <w:szCs w:val="22"/>
        </w:rPr>
        <w:t xml:space="preserve">Metrikler </w:t>
      </w:r>
      <w:r>
        <w:rPr>
          <w:rFonts w:ascii="Calibri" w:cs="Calibri" w:eastAsia="Calibri" w:hAnsi="Calibri"/>
          <w:b/>
          <w:bCs/>
          <w:sz w:val="22"/>
          <w:szCs w:val="22"/>
        </w:rPr>
        <w:t xml:space="preserve">zorunlu</w:t>
      </w:r>
      <w:r>
        <w:rPr>
          <w:rFonts w:ascii="Calibri" w:cs="Calibri" w:eastAsia="Calibri" w:hAnsi="Calibri"/>
          <w:sz w:val="22"/>
          <w:szCs w:val="22"/>
        </w:rPr>
        <w:t xml:space="preserve"> ve </w:t>
      </w:r>
      <w:r>
        <w:rPr>
          <w:rFonts w:ascii="Calibri" w:cs="Calibri" w:eastAsia="Calibri" w:hAnsi="Calibri"/>
          <w:b/>
          <w:bCs/>
          <w:sz w:val="22"/>
          <w:szCs w:val="22"/>
        </w:rPr>
        <w:t xml:space="preserve">önerilen</w:t>
      </w:r>
      <w:r>
        <w:rPr>
          <w:rFonts w:ascii="Calibri" w:cs="Calibri" w:eastAsia="Calibri" w:hAnsi="Calibri"/>
          <w:sz w:val="22"/>
          <w:szCs w:val="22"/>
        </w:rPr>
        <w:t xml:space="preserve"> olmak üzere iki kategoriye ayrılmıştır.</w:t>
      </w:r>
    </w:p>
    <w:p>
      <w:pPr>
        <w:pStyle w:val="ListParagraph"/>
        <w:numPr>
          <w:ilvl w:val="0"/>
          <w:numId w:val="2"/>
        </w:numPr>
        <w:spacing w:after="80" w:line="280"/>
      </w:pPr>
      <w:r>
        <w:rPr>
          <w:rFonts w:ascii="Calibri" w:cs="Calibri" w:eastAsia="Calibri" w:hAnsi="Calibri"/>
          <w:sz w:val="22"/>
          <w:szCs w:val="22"/>
        </w:rPr>
        <w:t xml:space="preserve">Sürdürülebilirlik raporlamasıyla (GRI, SASB, ESRS S1, IFRS/ISSB S1, SEC ve TCFD) uyum güçlendirilmiştir.</w:t>
      </w:r>
    </w:p>
    <w:p>
      <w:pPr>
        <w:pStyle w:val="ListParagraph"/>
        <w:numPr>
          <w:ilvl w:val="0"/>
          <w:numId w:val="2"/>
        </w:numPr>
        <w:spacing w:after="80" w:line="280"/>
      </w:pPr>
      <w:r>
        <w:rPr>
          <w:rFonts w:ascii="Calibri" w:cs="Calibri" w:eastAsia="Calibri" w:hAnsi="Calibri"/>
          <w:sz w:val="22"/>
          <w:szCs w:val="22"/>
        </w:rPr>
        <w:t xml:space="preserve">Materyallik ve yapay zekâ kaynaklı etkenler daha açık ele alınmıştır.</w:t>
      </w:r>
    </w:p>
    <w:p>
      <w:pPr>
        <w:pStyle w:val="ListParagraph"/>
        <w:numPr>
          <w:ilvl w:val="0"/>
          <w:numId w:val="2"/>
        </w:numPr>
        <w:spacing w:after="80" w:line="280"/>
      </w:pPr>
      <w:r>
        <w:rPr>
          <w:rFonts w:ascii="Calibri" w:cs="Calibri" w:eastAsia="Calibri" w:hAnsi="Calibri"/>
          <w:sz w:val="22"/>
          <w:szCs w:val="22"/>
        </w:rPr>
        <w:t xml:space="preserve">İnsan sermayesi alanları yeniden düzenlenmiş; kâr amacı güden ve gütmeyen sektörler için üretkenlik eşdeğerleri (Tablo A.17) eklenmiştir.</w:t>
      </w:r>
    </w:p>
    <w:p>
      <w:pPr>
        <w:pStyle w:val="ListParagraph"/>
        <w:numPr>
          <w:ilvl w:val="0"/>
          <w:numId w:val="2"/>
        </w:numPr>
        <w:spacing w:after="80" w:line="280"/>
      </w:pPr>
      <w:r>
        <w:rPr>
          <w:rFonts w:ascii="Calibri" w:cs="Calibri" w:eastAsia="Calibri" w:hAnsi="Calibri"/>
          <w:sz w:val="22"/>
          <w:szCs w:val="22"/>
        </w:rPr>
        <w:t xml:space="preserve">İnsan hakları, işgücü ilişkileri, üretkenlik, etik ve iyi olma metrikleri eklenmiştir.</w:t>
      </w:r>
    </w:p>
    <w:p>
      <w:pPr>
        <w:pStyle w:val="ListParagraph"/>
        <w:numPr>
          <w:ilvl w:val="0"/>
          <w:numId w:val="2"/>
        </w:numPr>
        <w:spacing w:after="80" w:line="280"/>
      </w:pPr>
      <w:r>
        <w:rPr>
          <w:rFonts w:ascii="Calibri" w:cs="Calibri" w:eastAsia="Calibri" w:hAnsi="Calibri"/>
          <w:sz w:val="22"/>
          <w:szCs w:val="22"/>
        </w:rPr>
        <w:t xml:space="preserve">Veri toplama, gizlilik ve güvenlik sorumluluklarına ilişkin rehberlik genişletilmiştir.</w:t>
      </w:r>
    </w:p>
    <w:p>
      <w:pPr>
        <w:spacing w:after="140" w:line="288"/>
        <w:jc w:val="left"/>
      </w:pPr>
      <w:r>
        <w:rPr>
          <w:rFonts w:ascii="Calibri" w:cs="Calibri" w:eastAsia="Calibri" w:hAnsi="Calibri"/>
          <w:sz w:val="22"/>
          <w:szCs w:val="22"/>
        </w:rPr>
        <w:t xml:space="preserve">Bu değişikliklerin ortak yönü, standardın bir “İK ölçümü kataloğu” olmaktan çıkıp bir “raporlama çerçevesi” hâline gelmesidir. Sürdürülebilirlik çerçeveleriyle uyum, dış raporlama yapan kurumlar için özellikle önemlidir; çünkü aynı bilgiyi iki ayrı biçimde üretmek yerine, tek bir veri tabanından farklı çerçevelere beslemeyi kolaylaştırır.</w:t>
      </w:r>
    </w:p>
    <w:p>
      <w:pPr>
        <w:pStyle w:val="Heading2"/>
        <w:keepNext/>
        <w:spacing w:after="110" w:before="320"/>
      </w:pPr>
      <w:r>
        <w:rPr>
          <w:rFonts w:ascii="Calibri" w:cs="Calibri" w:eastAsia="Calibri" w:hAnsi="Calibri"/>
          <w:b/>
          <w:bCs/>
          <w:sz w:val="27"/>
          <w:szCs w:val="27"/>
        </w:rPr>
        <w:t xml:space="preserve">1.1.2  Çerçevenin yapı taşları</w:t>
      </w:r>
    </w:p>
    <w:p>
      <w:pPr>
        <w:pStyle w:val="Heading3"/>
        <w:keepNext/>
        <w:spacing w:after="80" w:before="220"/>
      </w:pPr>
      <w:r>
        <w:rPr>
          <w:rFonts w:ascii="Calibri" w:cs="Calibri" w:eastAsia="Calibri" w:hAnsi="Calibri"/>
          <w:b/>
          <w:bCs/>
          <w:color w:val="0B5C8A"/>
          <w:sz w:val="23"/>
          <w:szCs w:val="23"/>
        </w:rPr>
        <w:t xml:space="preserve">On bir insan sermayesi alanı</w:t>
      </w:r>
    </w:p>
    <w:p>
      <w:pPr>
        <w:spacing w:after="140" w:line="288"/>
        <w:jc w:val="left"/>
      </w:pPr>
      <w:r>
        <w:rPr>
          <w:rFonts w:ascii="Calibri" w:cs="Calibri" w:eastAsia="Calibri" w:hAnsi="Calibri"/>
          <w:sz w:val="22"/>
          <w:szCs w:val="22"/>
        </w:rPr>
        <w:t xml:space="preserve">Standart insan sermayesini, kurumlar arasında standart karşılaştırma sağlayan 11 çalışma konusu kategorisine, yani insan sermayesi alanına (HCA) ayırır. Her alanın rehber sayfasındaki karşılığı ve ayrıntılı metrik belgesi aşağıdaki tabloda gösterilmiştir.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4138"/>
      </w:tblGrid>
      <w:tr>
        <w:trPr>
          <w:cantSplit/>
          <w:tblHeader/>
        </w:trPr>
        <w:tc>
          <w:tcPr>
            <w:tcW w:type="dxa" w:w="3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Alan</w:t>
            </w:r>
          </w:p>
        </w:tc>
        <w:tc>
          <w:tcPr>
            <w:tcW w:type="dxa" w:w="2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Matristeki satır sayısı</w:t>
            </w:r>
          </w:p>
        </w:tc>
        <w:tc>
          <w:tcPr>
            <w:tcW w:type="dxa" w:w="41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Ayrıntılı rehber (bölüm)</w:t>
            </w:r>
          </w:p>
        </w:tc>
      </w:tr>
      <w:tr>
        <w:trPr>
          <w:cantSplit/>
        </w:trPr>
        <w:tc>
          <w:tcPr>
            <w:tcW w:type="dxa" w:w="3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 kompozisyonu</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w:t>
            </w:r>
          </w:p>
        </w:tc>
        <w:tc>
          <w:tcPr>
            <w:tcW w:type="dxa" w:w="4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30425 (2.3)</w:t>
            </w:r>
          </w:p>
        </w:tc>
      </w:tr>
      <w:tr>
        <w:trPr>
          <w:cantSplit/>
        </w:trPr>
        <w:tc>
          <w:tcPr>
            <w:tcW w:type="dxa" w:w="3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Çeşitlilik</w:t>
            </w:r>
          </w:p>
        </w:tc>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w:t>
            </w:r>
          </w:p>
        </w:tc>
        <w:tc>
          <w:tcPr>
            <w:tcW w:type="dxa" w:w="4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30415 (5.3)</w:t>
            </w:r>
          </w:p>
        </w:tc>
      </w:tr>
      <w:tr>
        <w:trPr>
          <w:cantSplit/>
        </w:trPr>
        <w:tc>
          <w:tcPr>
            <w:tcW w:type="dxa" w:w="3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Maliyetler</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w:t>
            </w:r>
          </w:p>
        </w:tc>
        <w:tc>
          <w:tcPr>
            <w:tcW w:type="dxa" w:w="4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30427 (6.2), 30428 (4.3), 30407 (3.3), 30421 (5.5)</w:t>
            </w:r>
          </w:p>
        </w:tc>
      </w:tr>
      <w:tr>
        <w:trPr>
          <w:cantSplit/>
        </w:trPr>
        <w:tc>
          <w:tcPr>
            <w:tcW w:type="dxa" w:w="3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Üretkenlik</w:t>
            </w:r>
          </w:p>
        </w:tc>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w:t>
            </w:r>
          </w:p>
        </w:tc>
        <w:tc>
          <w:tcPr>
            <w:tcW w:type="dxa" w:w="4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30432 (6.1)</w:t>
            </w:r>
          </w:p>
        </w:tc>
      </w:tr>
      <w:tr>
        <w:trPr>
          <w:cantSplit/>
        </w:trPr>
        <w:tc>
          <w:tcPr>
            <w:tcW w:type="dxa" w:w="3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Sağlık, güvenlik ve iyi olma</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w:t>
            </w:r>
          </w:p>
        </w:tc>
        <w:tc>
          <w:tcPr>
            <w:tcW w:type="dxa" w:w="4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24179 (5.4), 30425 (2.3)</w:t>
            </w:r>
          </w:p>
        </w:tc>
      </w:tr>
      <w:tr>
        <w:trPr>
          <w:cantSplit/>
        </w:trPr>
        <w:tc>
          <w:tcPr>
            <w:tcW w:type="dxa" w:w="3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Liderlik, kültür ve bağlılık</w:t>
            </w:r>
          </w:p>
        </w:tc>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w:t>
            </w:r>
          </w:p>
        </w:tc>
        <w:tc>
          <w:tcPr>
            <w:tcW w:type="dxa" w:w="4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24178 (5.2), 30431 (4.4)</w:t>
            </w:r>
          </w:p>
        </w:tc>
      </w:tr>
      <w:tr>
        <w:trPr>
          <w:cantSplit/>
        </w:trPr>
        <w:tc>
          <w:tcPr>
            <w:tcW w:type="dxa" w:w="3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Uyum, etik ve işgücü ilişkileri</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11</w:t>
            </w:r>
          </w:p>
        </w:tc>
        <w:tc>
          <w:tcPr>
            <w:tcW w:type="dxa" w:w="4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30423 (1.4), ISO 30415 (5.3), 30427 (6.2)</w:t>
            </w:r>
          </w:p>
        </w:tc>
      </w:tr>
      <w:tr>
        <w:trPr>
          <w:cantSplit/>
        </w:trPr>
        <w:tc>
          <w:tcPr>
            <w:tcW w:type="dxa" w:w="3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İşe alım</w:t>
            </w:r>
          </w:p>
        </w:tc>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w:t>
            </w:r>
          </w:p>
        </w:tc>
        <w:tc>
          <w:tcPr>
            <w:tcW w:type="dxa" w:w="4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30430 (3.2), 30410 (3.5), 30411 (3.4)</w:t>
            </w:r>
          </w:p>
        </w:tc>
      </w:tr>
      <w:tr>
        <w:trPr>
          <w:cantSplit/>
        </w:trPr>
        <w:tc>
          <w:tcPr>
            <w:tcW w:type="dxa" w:w="3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Hareketlilik ve yedekleme planlaması</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w:t>
            </w:r>
          </w:p>
        </w:tc>
        <w:tc>
          <w:tcPr>
            <w:tcW w:type="dxa" w:w="4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30433 (2.4), 30410, 30430</w:t>
            </w:r>
          </w:p>
        </w:tc>
      </w:tr>
      <w:tr>
        <w:trPr>
          <w:cantSplit/>
        </w:trPr>
        <w:tc>
          <w:tcPr>
            <w:tcW w:type="dxa" w:w="3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 devri</w:t>
            </w:r>
          </w:p>
        </w:tc>
        <w:tc>
          <w:tcPr>
            <w:tcW w:type="dxa" w:w="2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w:t>
            </w:r>
          </w:p>
        </w:tc>
        <w:tc>
          <w:tcPr>
            <w:tcW w:type="dxa" w:w="4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30421 (5.5)</w:t>
            </w:r>
          </w:p>
        </w:tc>
      </w:tr>
      <w:tr>
        <w:trPr>
          <w:cantSplit/>
        </w:trPr>
        <w:tc>
          <w:tcPr>
            <w:tcW w:type="dxa" w:w="3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Beceri, yetkinlik ve gelişim (kuruma özgü satır dahil)</w:t>
            </w:r>
          </w:p>
        </w:tc>
        <w:tc>
          <w:tcPr>
            <w:tcW w:type="dxa" w:w="2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w:t>
            </w:r>
          </w:p>
        </w:tc>
        <w:tc>
          <w:tcPr>
            <w:tcW w:type="dxa" w:w="4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30428 (4.3), 30431 (4.4)</w:t>
            </w:r>
          </w:p>
        </w:tc>
      </w:tr>
    </w:tbl>
    <w:p>
      <w:pPr>
        <w:spacing w:after="140"/>
      </w:pPr>
    </w:p>
    <w:p>
      <w:pPr>
        <w:pStyle w:val="Heading3"/>
        <w:keepNext/>
        <w:spacing w:after="80" w:before="220"/>
      </w:pPr>
      <w:r>
        <w:rPr>
          <w:rFonts w:ascii="Calibri" w:cs="Calibri" w:eastAsia="Calibri" w:hAnsi="Calibri"/>
          <w:b/>
          <w:bCs/>
          <w:color w:val="0B5C8A"/>
          <w:sz w:val="23"/>
          <w:szCs w:val="23"/>
        </w:rPr>
        <w:t xml:space="preserve">İki kategori, üç uygulama sınıfı</w:t>
      </w:r>
    </w:p>
    <w:p>
      <w:pPr>
        <w:spacing w:after="140" w:line="288"/>
        <w:jc w:val="left"/>
      </w:pPr>
      <w:r>
        <w:rPr>
          <w:rFonts w:ascii="Calibri" w:cs="Calibri" w:eastAsia="Calibri" w:hAnsi="Calibri"/>
          <w:sz w:val="22"/>
          <w:szCs w:val="22"/>
        </w:rPr>
        <w:t xml:space="preserve">Metrikler, tüm kurumlar için geçerli zorunlu (Tablo 3) ve büyüklüğe ile kullanım amacına göre seçilen önerilen (Tablo 4) metrikler olarak ayrılır. Rehber sayfasındaki matris 70 kalemden oluşur: 14 zorunlu, 55 önerilen ve 1 kuruma özgü satır. Üç uygulama sütunu vardır: büyük kurum iç kullanım (70 kalem), büyük kurum dış raporlama (38 kalem) ve KOBİ iç kullanım (45 kalem). Kuruma özgü satır (Ek A.12), kurumun kendi eklediği metrikler içindir.</w:t>
      </w:r>
    </w:p>
    <w:p>
      <w:pPr>
        <w:spacing w:after="140" w:line="288"/>
        <w:jc w:val="left"/>
      </w:pPr>
      <w:r>
        <w:rPr>
          <w:rFonts w:ascii="Calibri" w:cs="Calibri" w:eastAsia="Calibri" w:hAnsi="Calibri"/>
          <w:sz w:val="22"/>
          <w:szCs w:val="22"/>
        </w:rPr>
        <w:t xml:space="preserve">On dört zorunlu metrik, her kurumun raporlamasının çekirdeğini oluşturur: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238"/>
        <w:gridCol w:w="1900"/>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Alan</w:t>
            </w:r>
          </w:p>
        </w:tc>
        <w:tc>
          <w:tcPr>
            <w:tcW w:type="dxa" w:w="52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Zorunlu metrikler</w:t>
            </w:r>
          </w:p>
        </w:tc>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ISO Ek A</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 kompozisyonu</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çalışan (headcount); tam zaman eşdeğeri (FTE) çalışan</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A.1.2; A.1.5</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Çeşitlilik</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Yaş çeşitliliği; cinsiyet çeşitliliği</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A.2.2; A.2.3</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Maliyetler</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öğrenme ve gelişim maliyeti; toplam işgücü maliyeti</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A.3.6; A.3.7</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Üretkenlik</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FTE başına finansal ciro; FTE başına FVÖK (EBIT); insan sermayesi ROI (HCROI)</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A.4.2; A.4.3; A.4.5</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Sağlık, güvenlik ve iyi olma</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 kazalarının sayısı ve oranı; iş kaynaklı ölümlerin sayısı ve oranı</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A.5.2; A.5.3</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Uyum, etik ve işgücü ilişkileri</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Açılan insan hakları vakalarının sayısı, türü ve sonucu; toplu iş sözleşmesi kapsamındaki çalışan yüzdesi</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A.7.8; A.7.11</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 devri</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 devir oranı</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A.10.2</w:t>
            </w:r>
          </w:p>
        </w:tc>
      </w:tr>
    </w:tbl>
    <w:p>
      <w:pPr>
        <w:spacing w:after="140"/>
      </w:pPr>
    </w:p>
    <w:p>
      <w:pPr>
        <w:spacing w:after="140" w:line="288"/>
        <w:jc w:val="left"/>
      </w:pPr>
      <w:r>
        <w:rPr>
          <w:rFonts w:ascii="Calibri" w:cs="Calibri" w:eastAsia="Calibri" w:hAnsi="Calibri"/>
          <w:sz w:val="22"/>
          <w:szCs w:val="22"/>
        </w:rPr>
        <w:t xml:space="preserve">Zorunlu kümenin yapısına bakınca bir tasarım mantığı görülür: Kurumun büyüklüğünü (kaç kişi, kaç FTE), çeşitliliğini (iki temel boyut), maliyetini (iki kalem), verimliliğini (üç gösterge), güvenliğini (kaza ve ölüm), temel hak ve ilişkilerini (insan hakları vakaları, toplu sözleşme) ve istikrarını (devir) ölçer. Yedekleme, bağlılık, yetkinlik ve işe alım gibi “yönetsel” alanların hiçbirinde zorunlu metrik yoktur; bunlar önerilen kategoridedir ve kurumun materyalliğine bırakılmıştır.</w:t>
      </w:r>
    </w:p>
    <w:p>
      <w:pPr>
        <w:pStyle w:val="Heading3"/>
        <w:keepNext/>
        <w:spacing w:after="80" w:before="220"/>
      </w:pPr>
      <w:r>
        <w:rPr>
          <w:rFonts w:ascii="Calibri" w:cs="Calibri" w:eastAsia="Calibri" w:hAnsi="Calibri"/>
          <w:b/>
          <w:bCs/>
          <w:color w:val="0B5C8A"/>
          <w:sz w:val="23"/>
          <w:szCs w:val="23"/>
        </w:rPr>
        <w:t xml:space="preserve">İşgücü, FTE ve materyallik</w:t>
      </w:r>
    </w:p>
    <w:p>
      <w:pPr>
        <w:spacing w:after="140" w:line="288"/>
        <w:jc w:val="left"/>
      </w:pPr>
      <w:r>
        <w:rPr>
          <w:rFonts w:ascii="Calibri" w:cs="Calibri" w:eastAsia="Calibri" w:hAnsi="Calibri"/>
          <w:sz w:val="22"/>
          <w:szCs w:val="22"/>
        </w:rPr>
        <w:t xml:space="preserve">Standart, “çalışan” yerine tüm iş ilişkilerini kapsayan “işgücü” terimini önerir; işgücü, çalışanlarla birlikte bağımsız yüklenici, danışman, ajans ve geçici çalışanlardan oluşan contingent işgücünü de içerir. Kapasiteyi göstermek için headcount yerine tam zaman eşdeğeri (FTE) esas alınır; toplam FTE (TFTE), çalışan FTE’si ile contingent FTE’nin toplamıdır. Materyallik ise bir unsurun kurumun sonuçlarına, finansal, çevresel, sosyal, yönetişim, hukuki ve etik boyutlarıyla ne kadar önemli olduğudur; neyin materyal olduğu hedef kitleye, sürdürülebilirlik amaçlarına ve yargı bölgesine göre belirlenir. KOBİ’lere kaynak sınırlamaları nedeniyle orantılı bir kapsam tanınır.</w:t>
      </w:r>
    </w:p>
    <w:p>
      <w:pPr>
        <w:pStyle w:val="Heading2"/>
        <w:keepNext/>
        <w:spacing w:after="110" w:before="320"/>
      </w:pPr>
      <w:r>
        <w:rPr>
          <w:rFonts w:ascii="Calibri" w:cs="Calibri" w:eastAsia="Calibri" w:hAnsi="Calibri"/>
          <w:b/>
          <w:bCs/>
          <w:sz w:val="27"/>
          <w:szCs w:val="27"/>
        </w:rPr>
        <w:t xml:space="preserve">1.1.3  TCFD tabanlı açıklama: dört alan</w:t>
      </w:r>
    </w:p>
    <w:p>
      <w:pPr>
        <w:spacing w:after="140" w:line="288"/>
        <w:jc w:val="left"/>
      </w:pPr>
      <w:r>
        <w:rPr>
          <w:rFonts w:ascii="Calibri" w:cs="Calibri" w:eastAsia="Calibri" w:hAnsi="Calibri"/>
          <w:sz w:val="22"/>
          <w:szCs w:val="22"/>
        </w:rPr>
        <w:t xml:space="preserve">İnsan sermayesi bilgisi yalnızca sayı olarak sunulmaz; her açıklama, İklimle İlgili Finansal Açıklamalar Çalışma Grubu (TCFD) çerçevesinden esinlenen dört alanda yapılandırılır. Bu yapı, okuyucunun “bu kurum insan sermayesini nasıl yönetiyor?” sorusuna sistematik yanıt almasını sağlar. Ek E’deki rapor şablonları da bu dört alanı izler.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638"/>
      </w:tblGrid>
      <w:tr>
        <w:trPr>
          <w:cantSplit/>
          <w:tblHeader/>
        </w:trPr>
        <w:tc>
          <w:tcPr>
            <w:tcW w:type="dxa" w:w="21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Açıklama alanı</w:t>
            </w:r>
          </w:p>
        </w:tc>
        <w:tc>
          <w:tcPr>
            <w:tcW w:type="dxa" w:w="3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açıklanır?</w:t>
            </w:r>
          </w:p>
        </w:tc>
        <w:tc>
          <w:tcPr>
            <w:tcW w:type="dxa" w:w="3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Örnek içerik</w:t>
            </w:r>
          </w:p>
        </w:tc>
      </w:tr>
      <w:tr>
        <w:trPr>
          <w:cantSplit/>
        </w:trPr>
        <w:tc>
          <w:tcPr>
            <w:tcW w:type="dxa" w:w="2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Yönetişim</w:t>
            </w:r>
          </w:p>
        </w:tc>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Üst liderliğin insan sermayesi riskleri ve fırsatları üzerindeki gözetimi ve yönetime devredilen roller</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Yönetim kurulunun hangi komitesinin insan sermayesini izlediği; CHRO’nun raporlama hattı; gözden geçirme sıklığı</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Strateji</w:t>
            </w:r>
          </w:p>
        </w:tc>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Kısa, orta ve uzun vadede belirlenen risk ve fırsatlar; senaryo planlaması ve stratejik dayanıklılık</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Yetenek arzı riski; teknolojik dönüşümün beceri etkisi; iki senaryoda yedekleme yeterliliği</w:t>
            </w:r>
          </w:p>
        </w:tc>
      </w:tr>
      <w:tr>
        <w:trPr>
          <w:cantSplit/>
        </w:trPr>
        <w:tc>
          <w:tcPr>
            <w:tcW w:type="dxa" w:w="2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Risk ve fırsat yönetimi</w:t>
            </w:r>
          </w:p>
        </w:tc>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Risk ve fırsatların belirlenme, değerlendirme ve yönetim süreçleri; kurumsal risk yönetimine entegrasyon</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İK risk kaydı; olasılık × etki puanı; risk komitesine raporlama</w:t>
            </w:r>
          </w:p>
        </w:tc>
      </w:tr>
      <w:tr>
        <w:trPr>
          <w:cantSplit/>
        </w:trPr>
        <w:tc>
          <w:tcPr>
            <w:tcW w:type="dxa" w:w="2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Metrikler ve hedefler</w:t>
            </w:r>
          </w:p>
        </w:tc>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Kullanılan nicel metrikler, dönem sonuçları, KPI hedefleri ve hedef–sonuç sapmalarının nitel açıklaması</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Seçilen metriklerin tanımları; önceki dönemle karşılaştırma; sapma gerekçesi</w:t>
            </w:r>
          </w:p>
        </w:tc>
      </w:tr>
    </w:tbl>
    <w:p>
      <w:pPr>
        <w:spacing w:after="140"/>
      </w:pPr>
    </w:p>
    <w:p>
      <w:pPr>
        <w:spacing w:after="140" w:line="288"/>
        <w:jc w:val="left"/>
      </w:pPr>
      <w:r>
        <w:rPr>
          <w:rFonts w:ascii="Calibri" w:cs="Calibri" w:eastAsia="Calibri" w:hAnsi="Calibri"/>
          <w:sz w:val="22"/>
          <w:szCs w:val="22"/>
        </w:rPr>
        <w:t xml:space="preserve">Dördüncü alan, bu kitabın ana konusudur; ancak ilk üçü olmadan metrikler bağlamsız kalır. Bir devir oranının yanına “bu risk kurulda ele alındı, şu eylem planlandı” cümlesi eklendiğinde sayı bir yönetim kanıtına dönüşür. Rehber, “nicel metriklerin yalnızca nitel açıklamalarla birlikte anlam kazandığını” vurgular: Her metrik, hedef–sonuç sapmasını açıklayan bir anlatıyla raporlanmalıdır.</w:t>
      </w:r>
    </w:p>
    <w:p>
      <w:pPr>
        <w:pStyle w:val="Heading3"/>
        <w:keepNext/>
        <w:spacing w:after="80" w:before="220"/>
      </w:pPr>
      <w:r>
        <w:rPr>
          <w:rFonts w:ascii="Calibri" w:cs="Calibri" w:eastAsia="Calibri" w:hAnsi="Calibri"/>
          <w:b/>
          <w:bCs/>
          <w:color w:val="0B5C8A"/>
          <w:sz w:val="23"/>
          <w:szCs w:val="23"/>
        </w:rPr>
        <w:t xml:space="preserve">TML: üç raporlama düzeyi</w:t>
      </w:r>
    </w:p>
    <w:p>
      <w:pPr>
        <w:spacing w:after="140" w:line="288"/>
        <w:jc w:val="left"/>
      </w:pPr>
      <w:r>
        <w:rPr>
          <w:rFonts w:ascii="Calibri" w:cs="Calibri" w:eastAsia="Calibri" w:hAnsi="Calibri"/>
          <w:sz w:val="22"/>
          <w:szCs w:val="22"/>
        </w:rPr>
        <w:t xml:space="preserve">Metrikler, materyal ve uygun olduğunda TML düzeylerine göre ayrıştırılarak raporlanabilir. T (top), liderlik ve yönetişim katmanıdır; odağı stratejiktir ve tipik rolleri CEO, CFO, CHRO ve yönetim kuruludur. M (middle), yönetim ve denetim katmanıdır; odağı taktik-yönetsel olup departman ve şube yöneticilerini, süpervizörleri kapsar. L (lower) ise idare ve destek katmanıdır; odağı operasyoneldir ve ön saf, giriş düzeyi ve destek rollerini içerir. “Alt” düzey daha az önemli anlamına gelmez; yalnızca hiyerarşik konumu belirtir. Matristeki “ilk yıl yıpranma oranı (TML)” satırı, bu ayrıştırmanın standartta açıkça anıldığı örneklerden biridir.</w:t>
      </w:r>
    </w:p>
    <w:p>
      <w:pPr>
        <w:pStyle w:val="Heading2"/>
        <w:keepNext/>
        <w:spacing w:after="110" w:before="320"/>
      </w:pPr>
      <w:r>
        <w:rPr>
          <w:rFonts w:ascii="Calibri" w:cs="Calibri" w:eastAsia="Calibri" w:hAnsi="Calibri"/>
          <w:b/>
          <w:bCs/>
          <w:sz w:val="27"/>
          <w:szCs w:val="27"/>
        </w:rPr>
        <w:t xml:space="preserve">1.1.4  Metriklerin hesaplanması: seçilmiş formüller</w:t>
      </w:r>
    </w:p>
    <w:p>
      <w:pPr>
        <w:spacing w:after="140" w:line="288"/>
        <w:jc w:val="left"/>
      </w:pPr>
      <w:r>
        <w:rPr>
          <w:rFonts w:ascii="Calibri" w:cs="Calibri" w:eastAsia="Calibri" w:hAnsi="Calibri"/>
          <w:sz w:val="22"/>
          <w:szCs w:val="22"/>
        </w:rPr>
        <w:t xml:space="preserve">Rehber sayfası, matristeki 70 satırın 55’i için bir formül, hesaplayıcı ve Python karşılığı sunar; geri kalanlar sayım niteliğindedir (örneğin açılan insan hakları vakalarının sayısı) ve formül gerektirmez. Formüllerin tamamı Ek B’dedir; burada, en sık kullanılan ve yanlış anlaşılmaya en açık olanları açıklıyoruz.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938"/>
      </w:tblGrid>
      <w:tr>
        <w:trPr>
          <w:cantSplit/>
          <w:tblHeader/>
        </w:trPr>
        <w:tc>
          <w:tcPr>
            <w:tcW w:type="dxa" w:w="2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3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Formül</w:t>
            </w:r>
          </w:p>
        </w:tc>
        <w:tc>
          <w:tcPr>
            <w:tcW w:type="dxa" w:w="39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Dikkat edilecek nokta</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FTE (A.1.5)</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N_FTE = (H_FT + H_PT) ÷ H_ST</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Standart tam zamanlı saat uluslararası bağlamda normalleştirilmelidir (35 saat mi 40 saat mi?).</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 devir oranı (A.10.2)</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W_TOR = (L_T ÷ N_AVG) × 100</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Nötr bir metriktir; anlamı gönüllü ve kritik kırılımında ve kök nedende yatar.</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HCROI (A.4.5)</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HCROI = [(R_T − (T_E − T_COW)) ÷ T_COW] − 1</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%50 getiri, yatırılan her birime karşılık bir birim artı 0,50 vergi öncesi kâr demektir; yüzde olarak raporlanır.</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eNPS (A.6.5)</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eNPS = [(Destekçi − Karşıt) ÷ Yanıtlayan] × 100</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Destekçi 9–10, pasif 7–8, karşıt 0–6; tek başına değil, diğer bağlılık ölçüleriyle okunur.</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Kontrol alanı (A.6.7)</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S_OC = N_DR ÷ N_SDR</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Doğrudan bağlı çalışan sayısının, doğrudan bağlısı olan yöneticiye oranı.</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Cinsiyet ücret oranı (A.7.2)</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G_PR = T_CF ÷ T_CM</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Kadın ortalama tazminatının erkek ortalama tazminatına oranı; bileşim etkisine duyarlıdır (bkz. 0.3).</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Plansız devamsızlık (A.5.5)</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A_UA = [D_UA ÷ (W_D × N_T)] × 100</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Plansız devamsızlık günü, iş günü ve çalışan sayısı çarpımına bölünür.</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Bağlılık endeksi (A.6.2)</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puan ÷ (Madde sayısı × Ölçek üst sınırı)) × 100</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Anket ölçeği ve madde sayısı sonucun parçasıdır.</w:t>
            </w:r>
          </w:p>
        </w:tc>
      </w:tr>
    </w:tbl>
    <w:p>
      <w:pPr>
        <w:spacing w:after="140"/>
      </w:pPr>
    </w:p>
    <w:p>
      <w:pPr>
        <w:spacing w:after="140" w:line="288"/>
        <w:jc w:val="left"/>
      </w:pPr>
      <w:r>
        <w:rPr>
          <w:rFonts w:ascii="Calibri" w:cs="Calibri" w:eastAsia="Calibri" w:hAnsi="Calibri"/>
          <w:sz w:val="22"/>
          <w:szCs w:val="22"/>
        </w:rPr>
        <w:t xml:space="preserve">Ek C’deki yapay kurumda bu formüller şu sonuçları verir: yıl sonu 478 çalışan 463,5 FTE’ye; contingent işgücü (14,0 + 21,5 FTE) eklendiğinde toplam 499,0 FTE’ye karşılık gelir. İşgücü maliyeti 357,3 milyon TL, gelir 1.163,7 milyon TL ve gider 1.058,7 milyon TL olduğundan HCROI 0,29, yani yüzde 29’dur. Yıllık devir %14,1, eNPS −13,8’dir. Her sayının hangi paydayla hesaplandığı, raporlamada açıkça yazılmalıdır.</w:t>
      </w:r>
    </w:p>
    <w:p>
      <w:pPr>
        <w:spacing w:after="140" w:line="288"/>
        <w:jc w:val="left"/>
      </w:pPr>
      <w:r>
        <w:rPr>
          <w:rFonts w:ascii="Calibri" w:cs="Calibri" w:eastAsia="Calibri" w:hAnsi="Calibri"/>
          <w:sz w:val="22"/>
          <w:szCs w:val="22"/>
        </w:rPr>
        <w:t xml:space="preserve">Aşağıdaki tablo, Ek C’deki yapay kurum için on dört zorunlu metriğin 2025 sonuçlarını özetler. Beş değer yapay veri setinden hesaplanmamış, kurgusal olarak girilmiştir (tabloda “kurgusal” olarak işaretli); bunlar gerçek bir ölçümü değil, tablonun nasıl okunacağını göstermek içindir.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3638"/>
        <w:gridCol w:w="1600"/>
      </w:tblGrid>
      <w:tr>
        <w:trPr>
          <w:cantSplit/>
          <w:tblHeader/>
        </w:trPr>
        <w:tc>
          <w:tcPr>
            <w:tcW w:type="dxa" w:w="11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ISO Ek A</w:t>
            </w:r>
          </w:p>
        </w:tc>
        <w:tc>
          <w:tcPr>
            <w:tcW w:type="dxa" w:w="3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Zorunlu metrik</w:t>
            </w:r>
          </w:p>
        </w:tc>
        <w:tc>
          <w:tcPr>
            <w:tcW w:type="dxa" w:w="3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2025 sonucu</w:t>
            </w:r>
          </w:p>
        </w:tc>
        <w:tc>
          <w:tcPr>
            <w:tcW w:type="dxa" w:w="16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Kaynak</w:t>
            </w:r>
          </w:p>
        </w:tc>
      </w:tr>
      <w:tr>
        <w:trPr>
          <w:cantSplit/>
        </w:trPr>
        <w:tc>
          <w:tcPr>
            <w:tcW w:type="dxa" w:w="1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A.1.2</w:t>
            </w:r>
          </w:p>
        </w:tc>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çalışan (headcount)</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478</w:t>
            </w:r>
          </w:p>
        </w:tc>
        <w:tc>
          <w:tcPr>
            <w:tcW w:type="dxa" w:w="1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Ek C verisi</w:t>
            </w:r>
          </w:p>
        </w:tc>
      </w:tr>
      <w:tr>
        <w:trPr>
          <w:cantSplit/>
        </w:trPr>
        <w:tc>
          <w:tcPr>
            <w:tcW w:type="dxa" w:w="1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A.1.5</w:t>
            </w:r>
          </w:p>
        </w:tc>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FTE çalışan</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463,5</w:t>
            </w:r>
          </w:p>
        </w:tc>
        <w:tc>
          <w:tcPr>
            <w:tcW w:type="dxa" w:w="1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Ek C verisi</w:t>
            </w:r>
          </w:p>
        </w:tc>
      </w:tr>
      <w:tr>
        <w:trPr>
          <w:cantSplit/>
        </w:trPr>
        <w:tc>
          <w:tcPr>
            <w:tcW w:type="dxa" w:w="1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A.2.2</w:t>
            </w:r>
          </w:p>
        </w:tc>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Yaş çeşitliliği</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18–29: %27,2; 30–39: %34,3; 40–49: %24,1; 50+: %14,4</w:t>
            </w:r>
          </w:p>
        </w:tc>
        <w:tc>
          <w:tcPr>
            <w:tcW w:type="dxa" w:w="1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Ek C verisi</w:t>
            </w:r>
          </w:p>
        </w:tc>
      </w:tr>
      <w:tr>
        <w:trPr>
          <w:cantSplit/>
        </w:trPr>
        <w:tc>
          <w:tcPr>
            <w:tcW w:type="dxa" w:w="1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A.2.3</w:t>
            </w:r>
          </w:p>
        </w:tc>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Cinsiyet çeşitliliği</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Kadın %37,5</w:t>
            </w:r>
          </w:p>
        </w:tc>
        <w:tc>
          <w:tcPr>
            <w:tcW w:type="dxa" w:w="1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Ek C verisi</w:t>
            </w:r>
          </w:p>
        </w:tc>
      </w:tr>
      <w:tr>
        <w:trPr>
          <w:cantSplit/>
        </w:trPr>
        <w:tc>
          <w:tcPr>
            <w:tcW w:type="dxa" w:w="1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A.3.6</w:t>
            </w:r>
          </w:p>
        </w:tc>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öğrenme ve gelişim maliyeti</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1.643.900 TL</w:t>
            </w:r>
          </w:p>
        </w:tc>
        <w:tc>
          <w:tcPr>
            <w:tcW w:type="dxa" w:w="1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Ek C verisi</w:t>
            </w:r>
          </w:p>
        </w:tc>
      </w:tr>
      <w:tr>
        <w:trPr>
          <w:cantSplit/>
        </w:trPr>
        <w:tc>
          <w:tcPr>
            <w:tcW w:type="dxa" w:w="1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A.3.7</w:t>
            </w:r>
          </w:p>
        </w:tc>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işgücü maliyeti</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357,3 milyon TL</w:t>
            </w:r>
          </w:p>
        </w:tc>
        <w:tc>
          <w:tcPr>
            <w:tcW w:type="dxa" w:w="1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Ek C verisi</w:t>
            </w:r>
          </w:p>
        </w:tc>
      </w:tr>
      <w:tr>
        <w:trPr>
          <w:cantSplit/>
        </w:trPr>
        <w:tc>
          <w:tcPr>
            <w:tcW w:type="dxa" w:w="1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A.4.2</w:t>
            </w:r>
          </w:p>
        </w:tc>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FTE başına finansal ciro</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2,33 milyon TL (toplam FTE 499,0)</w:t>
            </w:r>
          </w:p>
        </w:tc>
        <w:tc>
          <w:tcPr>
            <w:tcW w:type="dxa" w:w="1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Ek C verisi</w:t>
            </w:r>
          </w:p>
        </w:tc>
      </w:tr>
      <w:tr>
        <w:trPr>
          <w:cantSplit/>
        </w:trPr>
        <w:tc>
          <w:tcPr>
            <w:tcW w:type="dxa" w:w="1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A.4.3</w:t>
            </w:r>
          </w:p>
        </w:tc>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FTE başına FVÖK</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210.439 TL</w:t>
            </w:r>
          </w:p>
        </w:tc>
        <w:tc>
          <w:tcPr>
            <w:tcW w:type="dxa" w:w="1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Ek C verisi</w:t>
            </w:r>
          </w:p>
        </w:tc>
      </w:tr>
      <w:tr>
        <w:trPr>
          <w:cantSplit/>
        </w:trPr>
        <w:tc>
          <w:tcPr>
            <w:tcW w:type="dxa" w:w="1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A.4.5</w:t>
            </w:r>
          </w:p>
        </w:tc>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İnsan sermayesi ROI (HCROI)</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0,29</w:t>
            </w:r>
          </w:p>
        </w:tc>
        <w:tc>
          <w:tcPr>
            <w:tcW w:type="dxa" w:w="1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Ek C verisi</w:t>
            </w:r>
          </w:p>
        </w:tc>
      </w:tr>
      <w:tr>
        <w:trPr>
          <w:cantSplit/>
        </w:trPr>
        <w:tc>
          <w:tcPr>
            <w:tcW w:type="dxa" w:w="1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A.5.2</w:t>
            </w:r>
          </w:p>
        </w:tc>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 kazalarının sayısı ve oranı</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23 kaza; 1.000.000 saatte 21,0</w:t>
            </w:r>
          </w:p>
        </w:tc>
        <w:tc>
          <w:tcPr>
            <w:tcW w:type="dxa" w:w="1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Ek C verisi</w:t>
            </w:r>
          </w:p>
        </w:tc>
      </w:tr>
      <w:tr>
        <w:trPr>
          <w:cantSplit/>
        </w:trPr>
        <w:tc>
          <w:tcPr>
            <w:tcW w:type="dxa" w:w="1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A.5.3</w:t>
            </w:r>
          </w:p>
        </w:tc>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 kaynaklı ölümler</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w:t>
            </w:r>
          </w:p>
        </w:tc>
        <w:tc>
          <w:tcPr>
            <w:tcW w:type="dxa" w:w="1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Ek C verisi</w:t>
            </w:r>
          </w:p>
        </w:tc>
      </w:tr>
      <w:tr>
        <w:trPr>
          <w:cantSplit/>
        </w:trPr>
        <w:tc>
          <w:tcPr>
            <w:tcW w:type="dxa" w:w="1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A.7.8</w:t>
            </w:r>
          </w:p>
        </w:tc>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Açılan insan hakları vakaları</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 vaka</w:t>
            </w:r>
          </w:p>
        </w:tc>
        <w:tc>
          <w:tcPr>
            <w:tcW w:type="dxa" w:w="1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kurgusal</w:t>
            </w:r>
          </w:p>
        </w:tc>
      </w:tr>
      <w:tr>
        <w:trPr>
          <w:cantSplit/>
        </w:trPr>
        <w:tc>
          <w:tcPr>
            <w:tcW w:type="dxa" w:w="1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A.7.11</w:t>
            </w:r>
          </w:p>
        </w:tc>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Toplu iş sözleşmesi kapsamındaki çalışan</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%62</w:t>
            </w:r>
          </w:p>
        </w:tc>
        <w:tc>
          <w:tcPr>
            <w:tcW w:type="dxa" w:w="1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kurgusal</w:t>
            </w:r>
          </w:p>
        </w:tc>
      </w:tr>
      <w:tr>
        <w:trPr>
          <w:cantSplit/>
        </w:trPr>
        <w:tc>
          <w:tcPr>
            <w:tcW w:type="dxa" w:w="1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A.10.2</w:t>
            </w:r>
          </w:p>
        </w:tc>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 devir oranı</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%14,1</w:t>
            </w:r>
          </w:p>
        </w:tc>
        <w:tc>
          <w:tcPr>
            <w:tcW w:type="dxa" w:w="1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Ek C verisi</w:t>
            </w:r>
          </w:p>
        </w:tc>
      </w:tr>
    </w:tbl>
    <w:p>
      <w:pPr>
        <w:spacing w:after="140"/>
      </w:pPr>
    </w:p>
    <w:p>
      <w:pPr>
        <w:spacing w:after="140" w:line="288"/>
        <w:jc w:val="left"/>
      </w:pPr>
      <w:r>
        <w:rPr>
          <w:rFonts w:ascii="Calibri" w:cs="Calibri" w:eastAsia="Calibri" w:hAnsi="Calibri"/>
          <w:sz w:val="22"/>
          <w:szCs w:val="22"/>
        </w:rPr>
        <w:t xml:space="preserve">Tabloyu bir yönetim kuruluna sunacak biri için iki cümle yeterlidir: “Kurumun işgücü 478 çalışan, 499 toplam FTE’dir; insan sermayesi yatırımının getirisi 0,29’dur. Devir %14,1’dir ve öncelikli konu kritik pozisyonlardaki gönüllü ayrılmalardır.” Geri kalan her sayı, bu iki cümleyi destekleyen kanıttır.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Hesaplamadan önce</w:t>
            </w:r>
          </w:p>
          <w:p>
            <w:pPr>
              <w:spacing w:after="0" w:line="276"/>
            </w:pPr>
            <w:r>
              <w:rPr>
                <w:rFonts w:ascii="Calibri" w:cs="Calibri" w:eastAsia="Calibri" w:hAnsi="Calibri"/>
                <w:sz w:val="21"/>
                <w:szCs w:val="21"/>
              </w:rPr>
              <w:t xml:space="preserve">HCROI gibi metrikler, finansal raporlardaki kalemlere dayanır. Gelir, gider ve işgücü maliyeti tanımlarının muhasebeyle mutabık olduğunu, dış rapor için raporlama dönemlerinin finansal dönemle aynı olduğunu doğrulayın. İşgücü maliyetinin kapsamı (hangi kalemler, contingent dahil mi?) için ISO/TS 30427’ye (6.2) bakın.</w:t>
            </w:r>
          </w:p>
        </w:tc>
      </w:tr>
    </w:tbl>
    <w:p>
      <w:pPr>
        <w:spacing w:after="120"/>
      </w:pPr>
    </w:p>
    <w:p>
      <w:pPr>
        <w:pStyle w:val="Heading2"/>
        <w:keepNext/>
        <w:spacing w:after="110" w:before="320"/>
      </w:pPr>
      <w:r>
        <w:rPr>
          <w:rFonts w:ascii="Calibri" w:cs="Calibri" w:eastAsia="Calibri" w:hAnsi="Calibri"/>
          <w:b/>
          <w:bCs/>
          <w:sz w:val="27"/>
          <w:szCs w:val="27"/>
        </w:rPr>
        <w:t xml:space="preserve">1.1.5  Bağlılık anketi (A.21 tipi)</w:t>
      </w:r>
    </w:p>
    <w:p>
      <w:pPr>
        <w:spacing w:after="140" w:line="288"/>
        <w:jc w:val="left"/>
      </w:pPr>
      <w:r>
        <w:rPr>
          <w:rFonts w:ascii="Calibri" w:cs="Calibri" w:eastAsia="Calibri" w:hAnsi="Calibri"/>
          <w:sz w:val="22"/>
          <w:szCs w:val="22"/>
        </w:rPr>
        <w:t xml:space="preserve">Matristeki bağlılık endeksi (A.6.2), ISO 30414’ün Ek A’sındaki anket tablolarına (A.21 ve A.22) dayanır. Rehber sayfası, standardın bağlılık boyutlarını izleyen, özgün olarak yazılmış yedi maddelik bir örnek anket sunar. Her ifade 1–10 arası yanıtlanır, toplam puan azami puana bölünerek yüzdeye çevrilir. Maddeler duygusal bağlılığı (“yaptığım işi anlamlı buluyorum”), liderlik ve iletişimi, kurumla uyumu, takdiri, gelişim fırsatlarını, tavsiye etme eğilimini (eNPS boyutu) ve elde tutma niyetini kapsar.</w:t>
      </w:r>
    </w:p>
    <w:p>
      <w:pPr>
        <w:spacing w:after="140" w:line="288"/>
        <w:jc w:val="left"/>
      </w:pPr>
      <w:r>
        <w:rPr>
          <w:rFonts w:ascii="Calibri" w:cs="Calibri" w:eastAsia="Calibri" w:hAnsi="Calibri"/>
          <w:sz w:val="22"/>
          <w:szCs w:val="22"/>
        </w:rPr>
        <w:t xml:space="preserve">Ölçeğin yapısı sonuçların yorumunu doğrudan etkiler. Yedi madde ve 1–10 ölçeğiyle azami puan 70’tir; 49 puan %70’e karşılık gelir. Aynı kurum 5’li ya da 9 maddelik başka bir ölçek kullanırsa endeksler doğrudan karşılaştırılamaz. Bu nedenle raporda ölçeğin kaç madde ve hangi üst sınırla kullanıldığı mutlaka belirtilmelidir. Standardın uyarısı da önemlidir: Bağlılık anketleri, izole edildiğinde ya da ücretle ilişkilendirildiğinde yanıltıcı olabilir. Yanıtlar ücret ya da terfi kararlarına bağlanırsa çalışanlar dürüst yanıt vermek yerine “doğru” yanıtı vermeye yönelir.</w:t>
      </w:r>
    </w:p>
    <w:p>
      <w:pPr>
        <w:spacing w:after="140" w:line="288"/>
        <w:jc w:val="left"/>
      </w:pPr>
      <w:r>
        <w:rPr>
          <w:rFonts w:ascii="Calibri" w:cs="Calibri" w:eastAsia="Calibri" w:hAnsi="Calibri"/>
          <w:sz w:val="22"/>
          <w:szCs w:val="22"/>
        </w:rPr>
        <w:t xml:space="preserve">Bu kitabın Ek C’sindeki defterde bağlılık, ISO 23326 (5.1) rehberindeki dokuz maddelik UWES benzeri ölçekle ölçülür (0–6). İki ölçek ayrı amaçlara hizmet eder: ISO 30414 raporlamada kullanılacak toplulaştırılmış bir endeks verir, ISO 23326 ise bağlılığın boyutlarına ve yönetim uygulamalarına yönelir. Raporlarda hangisinin kullanıldığını açıkça yazmak gerekir.</w:t>
      </w:r>
    </w:p>
    <w:p>
      <w:pPr>
        <w:pStyle w:val="Heading2"/>
        <w:keepNext/>
        <w:spacing w:after="110" w:before="320"/>
      </w:pPr>
      <w:r>
        <w:rPr>
          <w:rFonts w:ascii="Calibri" w:cs="Calibri" w:eastAsia="Calibri" w:hAnsi="Calibri"/>
          <w:b/>
          <w:bCs/>
          <w:sz w:val="27"/>
          <w:szCs w:val="27"/>
        </w:rPr>
        <w:t xml:space="preserve">1.1.6  İç ve dış raporlama: iki ayrı iş</w:t>
      </w:r>
    </w:p>
    <w:p>
      <w:pPr>
        <w:spacing w:after="140" w:line="288"/>
        <w:jc w:val="left"/>
      </w:pPr>
      <w:r>
        <w:rPr>
          <w:rFonts w:ascii="Calibri" w:cs="Calibri" w:eastAsia="Calibri" w:hAnsi="Calibri"/>
          <w:sz w:val="22"/>
          <w:szCs w:val="22"/>
        </w:rPr>
        <w:t xml:space="preserve">Aynı insan sermayesi verisi, iç ve dış raporlamada farklı biçimlerde kullanılır. Rehber, alıcıya göre rapor biçimini şu eşleşmeyle özetler: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900"/>
        <w:gridCol w:w="3038"/>
      </w:tblGrid>
      <w:tr>
        <w:trPr>
          <w:cantSplit/>
          <w:tblHeader/>
        </w:trPr>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Alıcı</w:t>
            </w:r>
          </w:p>
        </w:tc>
        <w:tc>
          <w:tcPr>
            <w:tcW w:type="dxa" w:w="3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görmek ister?</w:t>
            </w:r>
          </w:p>
        </w:tc>
        <w:tc>
          <w:tcPr>
            <w:tcW w:type="dxa" w:w="30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Rapor biçimi</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Yatırımcı, derecelendirme kuruluşu</w:t>
            </w:r>
          </w:p>
        </w:tc>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Stratejik, toplulaştırılmış göstergeler: HCROI, devir, üretkenlik</w:t>
            </w:r>
          </w:p>
        </w:tc>
        <w:tc>
          <w:tcPr>
            <w:tcW w:type="dxa" w:w="30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Dış raporlama; TCFD’nin dört alanı</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Yönetim kurulu</w:t>
            </w:r>
          </w:p>
        </w:tc>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Yönetişim ve risk gözetimi</w:t>
            </w:r>
          </w:p>
        </w:tc>
        <w:tc>
          <w:tcPr>
            <w:tcW w:type="dxa" w:w="30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Vekâlet belgesi, yönetim beyanı</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Yönetim ve İK</w:t>
            </w:r>
          </w:p>
        </w:tc>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TML düzeylerine göre ayrıştırılmış metrikler</w:t>
            </w:r>
          </w:p>
        </w:tc>
        <w:tc>
          <w:tcPr>
            <w:tcW w:type="dxa" w:w="30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İç pano; sık izleme</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Düzenleyici</w:t>
            </w:r>
          </w:p>
        </w:tc>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Zorunlu işgücü açıklamaları</w:t>
            </w:r>
          </w:p>
        </w:tc>
        <w:tc>
          <w:tcPr>
            <w:tcW w:type="dxa" w:w="30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Faaliyet raporu, sürdürülebilirlik raporu</w:t>
            </w:r>
          </w:p>
        </w:tc>
      </w:tr>
    </w:tbl>
    <w:p>
      <w:pPr>
        <w:spacing w:after="140"/>
      </w:pPr>
    </w:p>
    <w:p>
      <w:pPr>
        <w:spacing w:after="140" w:line="288"/>
        <w:jc w:val="left"/>
      </w:pPr>
      <w:r>
        <w:rPr>
          <w:rFonts w:ascii="Calibri" w:cs="Calibri" w:eastAsia="Calibri" w:hAnsi="Calibri"/>
          <w:sz w:val="22"/>
          <w:szCs w:val="22"/>
        </w:rPr>
        <w:t xml:space="preserve">İç rapor yönetmek için yazılır: 70 kalemin tamamı, TML ve birim kırılımlarıyla, çeyreklik ya da aylık pano biçiminde, eylem sorumlularına ulaşacak şekilde. Dış rapor güven vermek için yazılır: 38 kalemlik dış raporlama kümesi, toplulaştırılmış, finansal raporlarla tutarlı, tanımları açıklanmış ve denetlenebilir biçimde. Dış raporda yalnızca “iyi görünenleri” seçmek, dengesiz ve hatta yanıltıcı bir tablo yaratır; seçim ölçütü materyalliktir ve dışarıda bırakılan zorunlu olmayan metriklerin gerekçesi kayıt altına alınmalıdır.</w:t>
      </w:r>
    </w:p>
    <w:p>
      <w:pPr>
        <w:spacing w:after="140" w:line="288"/>
        <w:jc w:val="left"/>
      </w:pPr>
      <w:r>
        <w:rPr>
          <w:rFonts w:ascii="Calibri" w:cs="Calibri" w:eastAsia="Calibri" w:hAnsi="Calibri"/>
          <w:sz w:val="22"/>
          <w:szCs w:val="22"/>
        </w:rPr>
        <w:t xml:space="preserve">Rapor hazırlama sürecini beş adımda toparlayabiliriz:</w:t>
      </w:r>
    </w:p>
    <w:p>
      <w:pPr>
        <w:pStyle w:val="ListParagraph"/>
        <w:numPr>
          <w:ilvl w:val="0"/>
          <w:numId w:val="3"/>
        </w:numPr>
        <w:spacing w:after="80" w:line="280"/>
      </w:pPr>
      <w:r>
        <w:rPr>
          <w:rFonts w:ascii="Calibri" w:cs="Calibri" w:eastAsia="Calibri" w:hAnsi="Calibri"/>
          <w:b/>
          <w:bCs/>
          <w:sz w:val="22"/>
          <w:szCs w:val="22"/>
        </w:rPr>
        <w:t xml:space="preserve">Kapsamı ve hedef kitleyi belirleyin.</w:t>
      </w:r>
      <w:r>
        <w:rPr>
          <w:rFonts w:ascii="Calibri" w:cs="Calibri" w:eastAsia="Calibri" w:hAnsi="Calibri"/>
          <w:sz w:val="22"/>
          <w:szCs w:val="22"/>
        </w:rPr>
        <w:t xml:space="preserve"> İç mi dış mı, büyük kurum mu KOBİ mi; hangi birimler ve ülkeler?</w:t>
      </w:r>
    </w:p>
    <w:p>
      <w:pPr>
        <w:pStyle w:val="ListParagraph"/>
        <w:numPr>
          <w:ilvl w:val="0"/>
          <w:numId w:val="3"/>
        </w:numPr>
        <w:spacing w:after="80" w:line="280"/>
      </w:pPr>
      <w:r>
        <w:rPr>
          <w:rFonts w:ascii="Calibri" w:cs="Calibri" w:eastAsia="Calibri" w:hAnsi="Calibri"/>
          <w:b/>
          <w:bCs/>
          <w:sz w:val="22"/>
          <w:szCs w:val="22"/>
        </w:rPr>
        <w:t xml:space="preserve">Metrik kümesini seçin.</w:t>
      </w:r>
      <w:r>
        <w:rPr>
          <w:rFonts w:ascii="Calibri" w:cs="Calibri" w:eastAsia="Calibri" w:hAnsi="Calibri"/>
          <w:sz w:val="22"/>
          <w:szCs w:val="22"/>
        </w:rPr>
        <w:t xml:space="preserve"> On dört zorunlu metrikle başlayın, materyal olan önerilenleri ekleyin; dışarıda bıraktıklarınızın gerekçesini yazın.</w:t>
      </w:r>
    </w:p>
    <w:p>
      <w:pPr>
        <w:pStyle w:val="ListParagraph"/>
        <w:numPr>
          <w:ilvl w:val="0"/>
          <w:numId w:val="3"/>
        </w:numPr>
        <w:spacing w:after="80" w:line="280"/>
      </w:pPr>
      <w:r>
        <w:rPr>
          <w:rFonts w:ascii="Calibri" w:cs="Calibri" w:eastAsia="Calibri" w:hAnsi="Calibri"/>
          <w:b/>
          <w:bCs/>
          <w:sz w:val="22"/>
          <w:szCs w:val="22"/>
        </w:rPr>
        <w:t xml:space="preserve">Veriyi ve tanımları sabitleyin.</w:t>
      </w:r>
      <w:r>
        <w:rPr>
          <w:rFonts w:ascii="Calibri" w:cs="Calibri" w:eastAsia="Calibri" w:hAnsi="Calibri"/>
          <w:sz w:val="22"/>
          <w:szCs w:val="22"/>
        </w:rPr>
        <w:t xml:space="preserve"> İşgücü tanımı, FTE esası, ölçüm noktası ve veri kaynakları; veri kalitesini ISO 30435 ile (1.3) sınayın.</w:t>
      </w:r>
    </w:p>
    <w:p>
      <w:pPr>
        <w:pStyle w:val="ListParagraph"/>
        <w:numPr>
          <w:ilvl w:val="0"/>
          <w:numId w:val="3"/>
        </w:numPr>
        <w:spacing w:after="80" w:line="280"/>
      </w:pPr>
      <w:r>
        <w:rPr>
          <w:rFonts w:ascii="Calibri" w:cs="Calibri" w:eastAsia="Calibri" w:hAnsi="Calibri"/>
          <w:b/>
          <w:bCs/>
          <w:sz w:val="22"/>
          <w:szCs w:val="22"/>
        </w:rPr>
        <w:t xml:space="preserve">Açıklamayı kurgulayın.</w:t>
      </w:r>
      <w:r>
        <w:rPr>
          <w:rFonts w:ascii="Calibri" w:cs="Calibri" w:eastAsia="Calibri" w:hAnsi="Calibri"/>
          <w:sz w:val="22"/>
          <w:szCs w:val="22"/>
        </w:rPr>
        <w:t xml:space="preserve"> Dört TCFD alanında anlatıyı yazın; metriklerin yanına hedef, önceki dönem ve sapma açıklaması ekleyin.</w:t>
      </w:r>
    </w:p>
    <w:p>
      <w:pPr>
        <w:pStyle w:val="ListParagraph"/>
        <w:numPr>
          <w:ilvl w:val="0"/>
          <w:numId w:val="3"/>
        </w:numPr>
        <w:spacing w:after="80" w:line="280"/>
      </w:pPr>
      <w:r>
        <w:rPr>
          <w:rFonts w:ascii="Calibri" w:cs="Calibri" w:eastAsia="Calibri" w:hAnsi="Calibri"/>
          <w:b/>
          <w:bCs/>
          <w:sz w:val="22"/>
          <w:szCs w:val="22"/>
        </w:rPr>
        <w:t xml:space="preserve">Onaylayın, yayımlayın, arşivleyin.</w:t>
      </w:r>
      <w:r>
        <w:rPr>
          <w:rFonts w:ascii="Calibri" w:cs="Calibri" w:eastAsia="Calibri" w:hAnsi="Calibri"/>
          <w:sz w:val="22"/>
          <w:szCs w:val="22"/>
        </w:rPr>
        <w:t xml:space="preserve"> Sürüm ve tanım değişikliklerini kayda alın; denetim izini saklayın.</w:t>
      </w:r>
    </w:p>
    <w:p>
      <w:pPr>
        <w:spacing w:after="140" w:line="288"/>
        <w:jc w:val="left"/>
      </w:pPr>
      <w:r>
        <w:rPr>
          <w:rFonts w:ascii="Calibri" w:cs="Calibri" w:eastAsia="Calibri" w:hAnsi="Calibri"/>
          <w:sz w:val="22"/>
          <w:szCs w:val="22"/>
        </w:rPr>
        <w:t xml:space="preserve">Ek E’deki Excel ve Word şablonları bu adımları somut bir kontrol listesine ve rapor iskeletine dönüştürür; doldurulmuş örnekler de nasıl bir sonuç beklenebileceğini gösterir.</w:t>
      </w:r>
    </w:p>
    <w:p>
      <w:pPr>
        <w:pStyle w:val="Heading2"/>
        <w:keepNext/>
        <w:spacing w:after="110" w:before="320"/>
      </w:pPr>
      <w:r>
        <w:rPr>
          <w:rFonts w:ascii="Calibri" w:cs="Calibri" w:eastAsia="Calibri" w:hAnsi="Calibri"/>
          <w:b/>
          <w:bCs/>
          <w:sz w:val="27"/>
          <w:szCs w:val="27"/>
        </w:rPr>
        <w:t xml:space="preserve">1.1.7  Yorum ve sınırlamalar</w:t>
      </w:r>
    </w:p>
    <w:p>
      <w:pPr>
        <w:spacing w:after="140" w:line="288"/>
        <w:jc w:val="left"/>
      </w:pPr>
      <w:r>
        <w:rPr>
          <w:rFonts w:ascii="Calibri" w:cs="Calibri" w:eastAsia="Calibri" w:hAnsi="Calibri"/>
          <w:sz w:val="22"/>
          <w:szCs w:val="22"/>
        </w:rPr>
        <w:t xml:space="preserve">Standart, çoğu metrik için tek bir hedef değer vermez; yorum kurumun bağlamına bırakılır. Bu nedenle rehber sayfasındaki yorum bantları (örneğin devirde %20 üzerinin “yüksek”, %10’un altının “düşük” sayılması) öğretim amaçlı başlangıç ölçütleridir; kurumun sektörü, büyüklüğü ve stratejisiyle kalibre edilmelidir. Devir gibi nötr metriklerin anlamı bağlamda yatar: gönüllü ve gönülsüz ayrımı, kritik pozisyonlar ve kök nedenler bilinmeden “yüksek” ya da “düşük” demek anlamsızdır (bkz. 0.3).</w:t>
      </w:r>
    </w:p>
    <w:p>
      <w:pPr>
        <w:spacing w:after="140" w:line="288"/>
        <w:jc w:val="left"/>
      </w:pPr>
      <w:r>
        <w:rPr>
          <w:rFonts w:ascii="Calibri" w:cs="Calibri" w:eastAsia="Calibri" w:hAnsi="Calibri"/>
          <w:sz w:val="22"/>
          <w:szCs w:val="22"/>
        </w:rPr>
        <w:t xml:space="preserve">Rehber sayfası şu sınırlamaları vurgular:</w:t>
      </w:r>
    </w:p>
    <w:p>
      <w:pPr>
        <w:pStyle w:val="ListParagraph"/>
        <w:numPr>
          <w:ilvl w:val="0"/>
          <w:numId w:val="2"/>
        </w:numPr>
        <w:spacing w:after="80" w:line="280"/>
      </w:pPr>
      <w:r>
        <w:rPr>
          <w:rFonts w:ascii="Calibri" w:cs="Calibri" w:eastAsia="Calibri" w:hAnsi="Calibri"/>
          <w:b/>
          <w:bCs/>
          <w:sz w:val="22"/>
          <w:szCs w:val="22"/>
        </w:rPr>
        <w:t xml:space="preserve">Uluslararası karşılaştırmalar</w:t>
      </w:r>
      <w:r>
        <w:rPr>
          <w:rFonts w:ascii="Calibri" w:cs="Calibri" w:eastAsia="Calibri" w:hAnsi="Calibri"/>
          <w:sz w:val="22"/>
          <w:szCs w:val="22"/>
        </w:rPr>
        <w:t xml:space="preserve"> normalleştirme gerektirir: Standart haftalık saat, terminoloji ve yasal tanımlar (FTE, engellilik, korunan grup) ülkeden ülkeye farklıdır.</w:t>
      </w:r>
    </w:p>
    <w:p>
      <w:pPr>
        <w:pStyle w:val="ListParagraph"/>
        <w:numPr>
          <w:ilvl w:val="0"/>
          <w:numId w:val="2"/>
        </w:numPr>
        <w:spacing w:after="80" w:line="280"/>
      </w:pPr>
      <w:r>
        <w:rPr>
          <w:rFonts w:ascii="Calibri" w:cs="Calibri" w:eastAsia="Calibri" w:hAnsi="Calibri"/>
          <w:b/>
          <w:bCs/>
          <w:sz w:val="22"/>
          <w:szCs w:val="22"/>
        </w:rPr>
        <w:t xml:space="preserve">Bağlılık anketleri</w:t>
      </w:r>
      <w:r>
        <w:rPr>
          <w:rFonts w:ascii="Calibri" w:cs="Calibri" w:eastAsia="Calibri" w:hAnsi="Calibri"/>
          <w:sz w:val="22"/>
          <w:szCs w:val="22"/>
        </w:rPr>
        <w:t xml:space="preserve"> izole edildiğinde ya da ücretle ilişkilendirildiğinde yanıltıcı olabilir.</w:t>
      </w:r>
    </w:p>
    <w:p>
      <w:pPr>
        <w:pStyle w:val="ListParagraph"/>
        <w:numPr>
          <w:ilvl w:val="0"/>
          <w:numId w:val="2"/>
        </w:numPr>
        <w:spacing w:after="80" w:line="280"/>
      </w:pPr>
      <w:r>
        <w:rPr>
          <w:rFonts w:ascii="Calibri" w:cs="Calibri" w:eastAsia="Calibri" w:hAnsi="Calibri"/>
          <w:b/>
          <w:bCs/>
          <w:sz w:val="22"/>
          <w:szCs w:val="22"/>
        </w:rPr>
        <w:t xml:space="preserve">Bazı referans standartlar</w:t>
      </w:r>
      <w:r>
        <w:rPr>
          <w:rFonts w:ascii="Calibri" w:cs="Calibri" w:eastAsia="Calibri" w:hAnsi="Calibri"/>
          <w:sz w:val="22"/>
          <w:szCs w:val="22"/>
        </w:rPr>
        <w:t xml:space="preserve"> (“TBD”) hâlâ geliştirme aşamasındadır; metodolojik değişiklikler geriye dönük açıklanmalıdır. Matriste 14 satırın ilgili rehberi henüz belirlenmemiştir; bu satırlarda hesaplama ayrıntısı ISO 30414’ün Ek A’sındadır.</w:t>
      </w:r>
    </w:p>
    <w:p>
      <w:pPr>
        <w:pStyle w:val="ListParagraph"/>
        <w:numPr>
          <w:ilvl w:val="0"/>
          <w:numId w:val="2"/>
        </w:numPr>
        <w:spacing w:after="80" w:line="280"/>
      </w:pPr>
      <w:r>
        <w:rPr>
          <w:rFonts w:ascii="Calibri" w:cs="Calibri" w:eastAsia="Calibri" w:hAnsi="Calibri"/>
          <w:b/>
          <w:bCs/>
          <w:sz w:val="22"/>
          <w:szCs w:val="22"/>
        </w:rPr>
        <w:t xml:space="preserve">Veri gizliliği ve güvenliği</w:t>
      </w:r>
      <w:r>
        <w:rPr>
          <w:rFonts w:ascii="Calibri" w:cs="Calibri" w:eastAsia="Calibri" w:hAnsi="Calibri"/>
          <w:sz w:val="22"/>
          <w:szCs w:val="22"/>
        </w:rPr>
        <w:t xml:space="preserve"> (GDPR ve ISO/IEC 27001 gibi) her aşamada gözetilmelidir; standart bu konuda ayrıntı vermez, ilgili mevzuata ve bilgi güvenliği standartlarına yönlendirir.</w:t>
      </w:r>
    </w:p>
    <w:p>
      <w:pPr>
        <w:pStyle w:val="Heading3"/>
        <w:keepNext/>
        <w:spacing w:after="80" w:before="220"/>
      </w:pPr>
      <w:r>
        <w:rPr>
          <w:rFonts w:ascii="Calibri" w:cs="Calibri" w:eastAsia="Calibri" w:hAnsi="Calibri"/>
          <w:b/>
          <w:bCs/>
          <w:color w:val="0B5C8A"/>
          <w:sz w:val="23"/>
          <w:szCs w:val="23"/>
        </w:rPr>
        <w:t xml:space="preserve">Uygulama kontrol listesi</w:t>
      </w:r>
    </w:p>
    <w:p>
      <w:pPr>
        <w:pStyle w:val="ListParagraph"/>
        <w:numPr>
          <w:ilvl w:val="0"/>
          <w:numId w:val="4"/>
        </w:numPr>
        <w:spacing w:after="80" w:line="280"/>
      </w:pPr>
      <w:r>
        <w:rPr>
          <w:rFonts w:ascii="Calibri" w:cs="Calibri" w:eastAsia="Calibri" w:hAnsi="Calibri"/>
          <w:sz w:val="22"/>
          <w:szCs w:val="22"/>
        </w:rPr>
        <w:t xml:space="preserve">Rapor türü, hedef kitle ve dönem yazıldı.</w:t>
      </w:r>
    </w:p>
    <w:p>
      <w:pPr>
        <w:pStyle w:val="ListParagraph"/>
        <w:numPr>
          <w:ilvl w:val="0"/>
          <w:numId w:val="4"/>
        </w:numPr>
        <w:spacing w:after="80" w:line="280"/>
      </w:pPr>
      <w:r>
        <w:rPr>
          <w:rFonts w:ascii="Calibri" w:cs="Calibri" w:eastAsia="Calibri" w:hAnsi="Calibri"/>
          <w:sz w:val="22"/>
          <w:szCs w:val="22"/>
        </w:rPr>
        <w:t xml:space="preserve">14 zorunlu metrik kapsama alındı; önerilenler için materyallik gerekçesi yazıldı.</w:t>
      </w:r>
    </w:p>
    <w:p>
      <w:pPr>
        <w:pStyle w:val="ListParagraph"/>
        <w:numPr>
          <w:ilvl w:val="0"/>
          <w:numId w:val="4"/>
        </w:numPr>
        <w:spacing w:after="80" w:line="280"/>
      </w:pPr>
      <w:r>
        <w:rPr>
          <w:rFonts w:ascii="Calibri" w:cs="Calibri" w:eastAsia="Calibri" w:hAnsi="Calibri"/>
          <w:sz w:val="22"/>
          <w:szCs w:val="22"/>
        </w:rPr>
        <w:t xml:space="preserve">İşgücü, FTE ve ölçüm noktası tanımları sabitlendi.</w:t>
      </w:r>
    </w:p>
    <w:p>
      <w:pPr>
        <w:pStyle w:val="ListParagraph"/>
        <w:numPr>
          <w:ilvl w:val="0"/>
          <w:numId w:val="4"/>
        </w:numPr>
        <w:spacing w:after="80" w:line="280"/>
      </w:pPr>
      <w:r>
        <w:rPr>
          <w:rFonts w:ascii="Calibri" w:cs="Calibri" w:eastAsia="Calibri" w:hAnsi="Calibri"/>
          <w:sz w:val="22"/>
          <w:szCs w:val="22"/>
        </w:rPr>
        <w:t xml:space="preserve">Veri kalitesi denetimi yapıldı (1.3).</w:t>
      </w:r>
    </w:p>
    <w:p>
      <w:pPr>
        <w:pStyle w:val="ListParagraph"/>
        <w:numPr>
          <w:ilvl w:val="0"/>
          <w:numId w:val="4"/>
        </w:numPr>
        <w:spacing w:after="80" w:line="280"/>
      </w:pPr>
      <w:r>
        <w:rPr>
          <w:rFonts w:ascii="Calibri" w:cs="Calibri" w:eastAsia="Calibri" w:hAnsi="Calibri"/>
          <w:sz w:val="22"/>
          <w:szCs w:val="22"/>
        </w:rPr>
        <w:t xml:space="preserve">Dört TCFD alanında açıklama metni yazıldı.</w:t>
      </w:r>
    </w:p>
    <w:p>
      <w:pPr>
        <w:pStyle w:val="ListParagraph"/>
        <w:numPr>
          <w:ilvl w:val="0"/>
          <w:numId w:val="4"/>
        </w:numPr>
        <w:spacing w:after="80" w:line="280"/>
      </w:pPr>
      <w:r>
        <w:rPr>
          <w:rFonts w:ascii="Calibri" w:cs="Calibri" w:eastAsia="Calibri" w:hAnsi="Calibri"/>
          <w:sz w:val="22"/>
          <w:szCs w:val="22"/>
        </w:rPr>
        <w:t xml:space="preserve">TML ayrıştırması yapılacak metrikler belirlendi; küçük grup eşiği uygulandı.</w:t>
      </w:r>
    </w:p>
    <w:p>
      <w:pPr>
        <w:pStyle w:val="ListParagraph"/>
        <w:numPr>
          <w:ilvl w:val="0"/>
          <w:numId w:val="4"/>
        </w:numPr>
        <w:spacing w:after="80" w:line="280"/>
      </w:pPr>
      <w:r>
        <w:rPr>
          <w:rFonts w:ascii="Calibri" w:cs="Calibri" w:eastAsia="Calibri" w:hAnsi="Calibri"/>
          <w:sz w:val="22"/>
          <w:szCs w:val="22"/>
        </w:rPr>
        <w:t xml:space="preserve">Önceki dönem, hedef ve sapma açıklamaları eklendi.</w:t>
      </w:r>
    </w:p>
    <w:p>
      <w:pPr>
        <w:pStyle w:val="ListParagraph"/>
        <w:numPr>
          <w:ilvl w:val="0"/>
          <w:numId w:val="4"/>
        </w:numPr>
        <w:spacing w:after="80" w:line="280"/>
      </w:pPr>
      <w:r>
        <w:rPr>
          <w:rFonts w:ascii="Calibri" w:cs="Calibri" w:eastAsia="Calibri" w:hAnsi="Calibri"/>
          <w:sz w:val="22"/>
          <w:szCs w:val="22"/>
        </w:rPr>
        <w:t xml:space="preserve">Onay, sürüm ve arşiv adımları tamamlandı.</w:t>
      </w:r>
    </w:p>
    <w:p>
      <w:pPr>
        <w:spacing w:after="140" w:line="288"/>
        <w:jc w:val="left"/>
      </w:pPr>
      <w:r>
        <w:rPr>
          <w:rFonts w:ascii="Calibri" w:cs="Calibri" w:eastAsia="Calibri" w:hAnsi="Calibri"/>
          <w:sz w:val="22"/>
          <w:szCs w:val="22"/>
        </w:rPr>
        <w:t xml:space="preserve">Sonraki adım: Raporun arkasındaki yönetişim sistemini, yani insan yönetişimi ilkelerini, rolleri ve hesap verebilirliği, 1.2’de ele alıyoruz.</w:t>
      </w:r>
    </w:p>
    <w:p>
      <w:pPr>
        <w:pStyle w:val="Heading1"/>
        <w:keepNext/>
        <w:pageBreakBefore/>
        <w:spacing w:after="100" w:before="0"/>
      </w:pPr>
      <w:r>
        <w:rPr>
          <w:rFonts w:ascii="Calibri" w:cs="Calibri" w:eastAsia="Calibri" w:hAnsi="Calibri"/>
          <w:b/>
          <w:bCs/>
          <w:color w:val="0B5C8A"/>
          <w:sz w:val="34"/>
          <w:szCs w:val="34"/>
        </w:rPr>
        <w:t xml:space="preserve">1.2  İnsan Yönetişimi Rehberi</w:t>
      </w:r>
    </w:p>
    <w:p>
      <w:pPr>
        <w:keepNext/>
        <w:pBdr>
          <w:bottom w:val="single" w:color="0B5C8A" w:sz="8" w:space="6"/>
        </w:pBdr>
        <w:spacing w:after="220"/>
      </w:pPr>
      <w:r>
        <w:rPr>
          <w:rFonts w:ascii="Calibri" w:cs="Calibri" w:eastAsia="Calibri" w:hAnsi="Calibri"/>
          <w:i/>
          <w:iCs/>
          <w:color w:val="59636F"/>
          <w:sz w:val="26"/>
          <w:szCs w:val="26"/>
        </w:rPr>
        <w:t xml:space="preserve">İnsan yönetişimi ilkeleri ve sorumlulukları · ISO 30408</w:t>
      </w:r>
    </w:p>
    <w:p>
      <w:pPr>
        <w:spacing w:after="140" w:line="288"/>
        <w:jc w:val="left"/>
      </w:pPr>
      <w:r>
        <w:rPr>
          <w:rFonts w:ascii="Calibri" w:cs="Calibri" w:eastAsia="Calibri" w:hAnsi="Calibri"/>
          <w:sz w:val="22"/>
          <w:szCs w:val="22"/>
        </w:rPr>
        <w:t xml:space="preserve">Bir kurumda insanlarla ilgili kararlar çoğu zaman dağınık biçimde alınır: İşe alım bir birimde, ücret başka bir birimde, performans yönetimi üçüncüsünde yürür ve bütünün kurumsal hedeflerle ne ölçüde uyumlu olduğu çoğu kez sorgulanmaz. ISO 30408, bu dağınıklığa karşı bir çerçeve önerir: İnsanların yönlendirildiği ve hesap verdiği sistemi, yani insan yönetişimini kurmak, sürdürmek ve sürekli iyileştirmek. Bu bölümü okuduğunuzda insan yönetişiminin ne olduğunu, üç ilkeyi, üç katmanlı sorumluluğu, raporlama yapısını ve standardın sayıya dökülebilen yönlerini öğrenmiş olacaksınız.</w:t>
      </w:r>
    </w:p>
    <w:p>
      <w:pPr>
        <w:pStyle w:val="Heading2"/>
        <w:keepNext/>
        <w:spacing w:after="110" w:before="320"/>
      </w:pPr>
      <w:r>
        <w:rPr>
          <w:rFonts w:ascii="Calibri" w:cs="Calibri" w:eastAsia="Calibri" w:hAnsi="Calibri"/>
          <w:b/>
          <w:bCs/>
          <w:sz w:val="27"/>
          <w:szCs w:val="27"/>
        </w:rPr>
        <w:t xml:space="preserve">1.2.1  Standardın yeri ve kapsamı</w:t>
      </w:r>
    </w:p>
    <w:p>
      <w:pPr>
        <w:spacing w:after="140" w:line="288"/>
        <w:jc w:val="left"/>
      </w:pPr>
      <w:r>
        <w:rPr>
          <w:rFonts w:ascii="Calibri" w:cs="Calibri" w:eastAsia="Calibri" w:hAnsi="Calibri"/>
          <w:sz w:val="22"/>
          <w:szCs w:val="22"/>
        </w:rPr>
        <w:t xml:space="preserve">ISO 30408:2016, kurumlarda insan yönetişimini (human governance) kurma, sürdürme ve sürekli iyileştirme için araç, süreç ve uygulamalara rehberlik eden bir uluslararası standarttır. ISO/TC 260 tarafından hazırlanmış ilk baskı 1 Eylül 2016 tarihlidir; rehber sayfası, BSI’nin 30 Eylül 2016’da yayımladığı BS ISO 30408:2016 uyarlamasını kaynak alır. Standart kamu ya da özel, kâr amaçlı ya da kâr amacı gütmeyen, her büyüklük ve sektördeki kurumlar içindir. Yönetim katmanı olmayan kurumlarda yönergeler, nihai karar sorumluluğu olanlara uygulanır.</w:t>
      </w:r>
    </w:p>
    <w:p>
      <w:pPr>
        <w:spacing w:after="140" w:line="288"/>
        <w:jc w:val="left"/>
      </w:pPr>
      <w:r>
        <w:rPr>
          <w:rFonts w:ascii="Calibri" w:cs="Calibri" w:eastAsia="Calibri" w:hAnsi="Calibri"/>
          <w:sz w:val="22"/>
          <w:szCs w:val="22"/>
        </w:rPr>
        <w:t xml:space="preserve">Standardın ne olmadığını bilmek, ne olduğu kadar önemlidir. İlk olarak, bir yönetim sistemi şartnamesi ya da sertifikasyon standardı değildir; uygunluk sınaması ya da denetim ölçütü içermez, yalnızca “kurum şunu yapmalı” biçiminde yönlendirme verir. İkinci olarak, standart hiçbir sayısal ölçü, formül, eşik ya da hedef içermez; kurumun hangi ölçüleri ve kabul edilebilir aralıkları kullanacağı kuruma bırakılmıştır. Üçüncü olarak, kapsamı sendikalar ve diğer temsilci organlarla ilişkileri dışarıda bırakır. Rehber sayfasındaki sayısal bölümler bu nedenle “türetilmiş” olarak işaretlidir: Standardın değil, sayfanın katkısıdır.</w:t>
      </w:r>
    </w:p>
    <w:p>
      <w:pPr>
        <w:pStyle w:val="Heading2"/>
        <w:keepNext/>
        <w:spacing w:after="110" w:before="320"/>
      </w:pPr>
      <w:r>
        <w:rPr>
          <w:rFonts w:ascii="Calibri" w:cs="Calibri" w:eastAsia="Calibri" w:hAnsi="Calibri"/>
          <w:b/>
          <w:bCs/>
          <w:sz w:val="27"/>
          <w:szCs w:val="27"/>
        </w:rPr>
        <w:t xml:space="preserve">1.2.2  İnsan yönetişimi nedir?</w:t>
      </w:r>
    </w:p>
    <w:p>
      <w:pPr>
        <w:spacing w:after="140" w:line="288"/>
        <w:jc w:val="left"/>
      </w:pPr>
      <w:r>
        <w:rPr>
          <w:rFonts w:ascii="Calibri" w:cs="Calibri" w:eastAsia="Calibri" w:hAnsi="Calibri"/>
          <w:sz w:val="22"/>
          <w:szCs w:val="22"/>
        </w:rPr>
        <w:t xml:space="preserve">Standardın girişine göre tüm kurumların bir yönetişimi vardır. Yönetişim, kurumun yönlendirildiği, denetlendiği ve hesap verdiği sistemdir; kuralları, sistemleri, süreçleri ve davranışı tanımlar. İnsan yönetişimi ise bu sistemin, özellikle kurumdaki insanların yönlendirildiği ve hesap verdiği boyutudur. Standart, insanların yönetişiminin fiziksel varlıkların ya da mali sermayenin yönetişimi kadar önemli olduğunu savunur ve kurum içinde uygun davranışı teşvik ettiğini belirtir. Madde 3.1’deki tanım, kurumun paydaşlarını ve insani ve toplumsal faktörleri gözeterek, en üst ve her karar düzeyinde yönetildiği ve denetlendiği sistemi ifade eder.</w:t>
      </w:r>
    </w:p>
    <w:p>
      <w:pPr>
        <w:spacing w:after="140" w:line="288"/>
        <w:jc w:val="left"/>
      </w:pPr>
      <w:r>
        <w:rPr>
          <w:rFonts w:ascii="Calibri" w:cs="Calibri" w:eastAsia="Calibri" w:hAnsi="Calibri"/>
          <w:sz w:val="22"/>
          <w:szCs w:val="22"/>
        </w:rPr>
        <w:t xml:space="preserve">Yönetim ile yönetişim arasındaki fark, bu rehberin kavramsal omurgasıdır. Yönetim, bir şeyin nasıl yapılacağıyla ilgilidir; yönetişim ise kimin neden hesap verdiğiyle. Bir İK müdürü işe alım sürecini yönetir; ancak işe alımın adil ve şeffaf yürütülmesinden, hedeflerinin kurumsal hedeflerle uyumundan ve sonuçlarının kime raporlandığından kurumun yönetişim sistemi sorumludur. İnsan yönetişimi, bu nedenle İK fonksiyonunun içindeki bir uygulama değil, İK fonksiyonunu çevreleyen bir çerçevedir.</w:t>
      </w:r>
    </w:p>
    <w:p>
      <w:pPr>
        <w:pStyle w:val="Heading2"/>
        <w:keepNext/>
        <w:spacing w:after="110" w:before="320"/>
      </w:pPr>
      <w:r>
        <w:rPr>
          <w:rFonts w:ascii="Calibri" w:cs="Calibri" w:eastAsia="Calibri" w:hAnsi="Calibri"/>
          <w:b/>
          <w:bCs/>
          <w:sz w:val="27"/>
          <w:szCs w:val="27"/>
        </w:rPr>
        <w:t xml:space="preserve">1.2.3  Üç ilke</w:t>
      </w:r>
    </w:p>
    <w:p>
      <w:pPr>
        <w:spacing w:after="140" w:line="288"/>
        <w:jc w:val="left"/>
      </w:pPr>
      <w:r>
        <w:rPr>
          <w:rFonts w:ascii="Calibri" w:cs="Calibri" w:eastAsia="Calibri" w:hAnsi="Calibri"/>
          <w:sz w:val="22"/>
          <w:szCs w:val="22"/>
        </w:rPr>
        <w:t xml:space="preserve">Standart, insan yönetişiminin üç ilkesini sıralar (madde 4). İlkeler “içerebilir” kipiyle verilir; yani kurum bunlara kendi ilkelerini ekleyebilir ya da kendi diline çevirebilir.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638"/>
      </w:tblGrid>
      <w:tr>
        <w:trPr>
          <w:cantSplit/>
          <w:tblHeader/>
        </w:trPr>
        <w:tc>
          <w:tcPr>
            <w:tcW w:type="dxa" w:w="1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Madde</w:t>
            </w:r>
          </w:p>
        </w:tc>
        <w:tc>
          <w:tcPr>
            <w:tcW w:type="dxa" w:w="2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İlke</w:t>
            </w:r>
          </w:p>
        </w:tc>
        <w:tc>
          <w:tcPr>
            <w:tcW w:type="dxa" w:w="5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Anlamı</w:t>
            </w:r>
          </w:p>
        </w:tc>
      </w:tr>
      <w:tr>
        <w:trPr>
          <w:cantSplit/>
        </w:trPr>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4 a</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Adillik ve şeffaflık</w:t>
            </w:r>
          </w:p>
        </w:tc>
        <w:tc>
          <w:tcPr>
            <w:tcW w:type="dxa" w:w="5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Kurumsal süreç ve uygulamaların tasarımında ve sonuçlarında</w:t>
            </w:r>
          </w:p>
        </w:tc>
      </w:tr>
      <w:tr>
        <w:trPr>
          <w:cantSplit/>
        </w:trPr>
        <w:tc>
          <w:tcPr>
            <w:tcW w:type="dxa" w:w="1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4 b</w:t>
            </w:r>
          </w:p>
        </w:tc>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Açıklık</w:t>
            </w:r>
          </w:p>
        </w:tc>
        <w:tc>
          <w:tcPr>
            <w:tcW w:type="dxa" w:w="5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Kurumsal süreç, uygulama ve sonuçlarda açıklık</w:t>
            </w:r>
          </w:p>
        </w:tc>
      </w:tr>
      <w:tr>
        <w:trPr>
          <w:cantSplit/>
        </w:trPr>
        <w:tc>
          <w:tcPr>
            <w:tcW w:type="dxa" w:w="1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4 c</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Hesap verebilirlik</w:t>
            </w:r>
          </w:p>
        </w:tc>
        <w:tc>
          <w:tcPr>
            <w:tcW w:type="dxa" w:w="5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Kurumun yönetim organlarına, yasal otoritelere ve paydaşlarına karşı</w:t>
            </w:r>
          </w:p>
        </w:tc>
      </w:tr>
    </w:tbl>
    <w:p>
      <w:pPr>
        <w:spacing w:after="140"/>
      </w:pPr>
    </w:p>
    <w:p>
      <w:pPr>
        <w:spacing w:after="140" w:line="288"/>
        <w:jc w:val="left"/>
      </w:pPr>
      <w:r>
        <w:rPr>
          <w:rFonts w:ascii="Calibri" w:cs="Calibri" w:eastAsia="Calibri" w:hAnsi="Calibri"/>
          <w:sz w:val="22"/>
          <w:szCs w:val="22"/>
        </w:rPr>
        <w:t xml:space="preserve">Yönetim, bu ilkeleri stratejik hedefleri belirlerken resmî olarak ele almalı, hizalamalı ve paydaşlara iletmelidir. Kuruma özgü ilkeler; misyon, vizyon, değerler ve stratejiye, değer yaratma biçimine, dış paydaşlara iletilmek istenen marka imajına, uzun vadeli çevresel ve toplumsal sürdürülebilirliğe, kaynaklara (etik ve sosyal sorumluluk hedefleri dahil) ve kurum ile paydaşların ihtiyaçları arasındaki dengeye yerleştirilebilir.</w:t>
      </w:r>
    </w:p>
    <w:p>
      <w:pPr>
        <w:spacing w:after="140" w:line="288"/>
        <w:jc w:val="left"/>
      </w:pPr>
      <w:r>
        <w:rPr>
          <w:rFonts w:ascii="Calibri" w:cs="Calibri" w:eastAsia="Calibri" w:hAnsi="Calibri"/>
          <w:sz w:val="22"/>
          <w:szCs w:val="22"/>
        </w:rPr>
        <w:t xml:space="preserve">İlkelerin pratikteki karşılığını bir örnekle görelim. “Adillik ve şeffaflık” ilkesi, ücret politikasında kimin neye göre ne kazandığının anlaşılır olmasını gerektirir. Gizli tutulan bir ücret yapısı, iyi niyetle kurulmuş olsa da bu ilkeyi zayıflatır. “Açıklık” ilkesi, işe alım ve terfi ölçütlerinin çalışanlara duyurulmasını, “hesap verebilirlik” ise bu ölçütlere uyulup uyulmadığının izlenip raporlanmasını gerektirir. İlkeler soyut görünse de, her biri somut bir uygulama sorusuna dönüşebilir: Bu uygulama ilkeyi güçlendiriyor mu, zayıflatıyor mu, etkisiz mi?</w:t>
      </w:r>
    </w:p>
    <w:p>
      <w:pPr>
        <w:pStyle w:val="Heading2"/>
        <w:keepNext/>
        <w:spacing w:after="110" w:before="320"/>
      </w:pPr>
      <w:r>
        <w:rPr>
          <w:rFonts w:ascii="Calibri" w:cs="Calibri" w:eastAsia="Calibri" w:hAnsi="Calibri"/>
          <w:b/>
          <w:bCs/>
          <w:sz w:val="27"/>
          <w:szCs w:val="27"/>
        </w:rPr>
        <w:t xml:space="preserve">1.2.4  Üç katmanlı sorumluluk</w:t>
      </w:r>
    </w:p>
    <w:p>
      <w:pPr>
        <w:spacing w:after="140" w:line="288"/>
        <w:jc w:val="left"/>
      </w:pPr>
      <w:r>
        <w:rPr>
          <w:rFonts w:ascii="Calibri" w:cs="Calibri" w:eastAsia="Calibri" w:hAnsi="Calibri"/>
          <w:sz w:val="22"/>
          <w:szCs w:val="22"/>
        </w:rPr>
        <w:t xml:space="preserve">Standardın beşinci maddesi, insan yönetişiminde kimin ne yapması gerektiğini üç katmanda tanımlar. Katmanlar arasındaki ilişki şu şekilde özetlenebilir: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5838"/>
        <w:gridCol w:w="1000"/>
      </w:tblGrid>
      <w:tr>
        <w:trPr>
          <w:cantSplit/>
          <w:tblHeader/>
        </w:trPr>
        <w:tc>
          <w:tcPr>
            <w:tcW w:type="dxa" w:w="2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Rol</w:t>
            </w:r>
          </w:p>
        </w:tc>
        <w:tc>
          <w:tcPr>
            <w:tcW w:type="dxa" w:w="58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Yapması gerekenler</w:t>
            </w:r>
          </w:p>
        </w:tc>
        <w:tc>
          <w:tcPr>
            <w:tcW w:type="dxa" w:w="1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İfade sayısı</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Yönetim kurulu (5.2)</w:t>
            </w:r>
          </w:p>
        </w:tc>
        <w:tc>
          <w:tcPr>
            <w:tcW w:type="dxa" w:w="5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İnsanın değer sunmadaki rolünü anlamak; resmî taahhütte bulunmak; sistemi yönetmekten hesap verebilir olmak; durum güncellemelerini izleyip uygun eylem almak</w:t>
            </w:r>
          </w:p>
        </w:tc>
        <w:tc>
          <w:tcPr>
            <w:tcW w:type="dxa" w:w="1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w:t>
            </w:r>
          </w:p>
        </w:tc>
      </w:tr>
      <w:tr>
        <w:trPr>
          <w:cantSplit/>
        </w:trPr>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Üst yönetim (5.3)</w:t>
            </w:r>
          </w:p>
        </w:tc>
        <w:tc>
          <w:tcPr>
            <w:tcW w:type="dxa" w:w="5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Rolleri tanımlamak, her düzeyde katılımı teşvik etmek, misyon-vizyon-değer bildirimini gözden geçirmek, KPI’ları belirlemek, sonuçları rapor şablonlarıyla gözden geçirmek, sapma için plan geliştirmek, paydaş iş birliğini artırmak</w:t>
            </w:r>
          </w:p>
        </w:tc>
        <w:tc>
          <w:tcPr>
            <w:tcW w:type="dxa" w:w="1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Operasyonel yönetim işlevleri (5.4.1)</w:t>
            </w:r>
          </w:p>
        </w:tc>
        <w:tc>
          <w:tcPr>
            <w:tcW w:type="dxa" w:w="5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Rol ve sorumlulukları anlamak; hedef ve ölçülerin tanımına katılmak; ilkeleri performans hedeflerine entegre etmek</w:t>
            </w:r>
          </w:p>
        </w:tc>
        <w:tc>
          <w:tcPr>
            <w:tcW w:type="dxa" w:w="1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w:t>
            </w:r>
          </w:p>
        </w:tc>
      </w:tr>
      <w:tr>
        <w:trPr>
          <w:cantSplit/>
        </w:trPr>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İnsan yönetişimi güvenceleri (5.4.2)</w:t>
            </w:r>
          </w:p>
        </w:tc>
        <w:tc>
          <w:tcPr>
            <w:tcW w:type="dxa" w:w="5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İK işlevleri hizalı; uygulama tutarlı; rol sahipleri ilkeleri anlar ve hesap verir; yetkinlik ölçütleri karşılanır</w:t>
            </w:r>
          </w:p>
        </w:tc>
        <w:tc>
          <w:tcPr>
            <w:tcW w:type="dxa" w:w="1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Nihai hesap verebilirlik (5.4.3)</w:t>
            </w:r>
          </w:p>
        </w:tc>
        <w:tc>
          <w:tcPr>
            <w:tcW w:type="dxa" w:w="5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Operasyon devredilir ancak nihai hesap verebilirlik üst yönetimdedir; insanlar ilke ve rolleri anlar; paydaş katılımı izlenir; strateji ve sonuçlar belgelenmiş bilgi olarak saklanır</w:t>
            </w:r>
          </w:p>
        </w:tc>
        <w:tc>
          <w:tcPr>
            <w:tcW w:type="dxa" w:w="1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w:t>
            </w:r>
          </w:p>
        </w:tc>
      </w:tr>
    </w:tbl>
    <w:p>
      <w:pPr>
        <w:spacing w:after="140"/>
      </w:pPr>
    </w:p>
    <w:p>
      <w:pPr>
        <w:spacing w:after="140" w:line="288"/>
        <w:jc w:val="left"/>
      </w:pPr>
      <w:r>
        <w:rPr>
          <w:rFonts w:ascii="Calibri" w:cs="Calibri" w:eastAsia="Calibri" w:hAnsi="Calibri"/>
          <w:sz w:val="22"/>
          <w:szCs w:val="22"/>
        </w:rPr>
        <w:t xml:space="preserve">Bu tablodaki en kritik cümle, son satırdadır: Operasyon devredilse de nihai hesap verebilirlik üst yönetimdedir. İK direktörü insan yönetişimini işletebilir, hatta onun adına rapor yazabilir; ancak sistemin işleyişinden en üst düzeyde sorumlu olan, üst yönetim ve yönetim kuruludur. Bu sorumluluk, kurulun “resmî taahhüt” vermesiyle başlar: İnsan yönetişimini kurmayı, kaynak ayırmayı ve durum güncellemelerini izleyip gerektiğinde müdahale etmeyi kabul etmesi gerekir.</w:t>
      </w:r>
    </w:p>
    <w:p>
      <w:pPr>
        <w:pStyle w:val="Heading2"/>
        <w:keepNext/>
        <w:spacing w:after="110" w:before="320"/>
      </w:pPr>
      <w:r>
        <w:rPr>
          <w:rFonts w:ascii="Calibri" w:cs="Calibri" w:eastAsia="Calibri" w:hAnsi="Calibri"/>
          <w:b/>
          <w:bCs/>
          <w:sz w:val="27"/>
          <w:szCs w:val="27"/>
        </w:rPr>
        <w:t xml:space="preserve">1.2.5  Hizalama süreci ve rapor yapısı</w:t>
      </w:r>
    </w:p>
    <w:p>
      <w:pPr>
        <w:spacing w:after="140" w:line="288"/>
        <w:jc w:val="left"/>
      </w:pPr>
      <w:r>
        <w:rPr>
          <w:rFonts w:ascii="Calibri" w:cs="Calibri" w:eastAsia="Calibri" w:hAnsi="Calibri"/>
          <w:sz w:val="22"/>
          <w:szCs w:val="22"/>
        </w:rPr>
        <w:t xml:space="preserve">İnsan yönetişimi, İK’nın işlev, uygulama ve süreçlerinin kurumsal ihtiyaçlarla hizalanmasını gerektirir (madde 6.1). Standart bu hizalamayı dört işle tanımlar: İK işlev, uygulama ve süreçlerinin değer katışını belirlemek; her birinde hedef ve başarı ölçülerini tanımlamak; bunları iş hedefleriyle hizalamak; etkililiği raporlamak için bir biçim tasarlamak.</w:t>
      </w:r>
    </w:p>
    <w:p>
      <w:pPr>
        <w:spacing w:after="140" w:line="288"/>
        <w:jc w:val="left"/>
      </w:pPr>
      <w:r>
        <w:rPr>
          <w:rFonts w:ascii="Calibri" w:cs="Calibri" w:eastAsia="Calibri" w:hAnsi="Calibri"/>
          <w:sz w:val="22"/>
          <w:szCs w:val="22"/>
        </w:rPr>
        <w:t xml:space="preserve">Rapor (madde 6.3) üç bölümden oluşur. Birincisi, kurumun ihtiyaçlarıdır: vizyon, değer, misyon, strateji ve kurumsal ihtiyaçlara bağlı temel performans göstergeleri (KPI). İkincisi, insan yönetişimi işlev, uygulama ve süreçleridir; her uygulamanın hedefi, ölçüsü, kabul edilebilir sonuç aralığı, araç ve süreçleri ile bunların ilkelere etkisi burada yer alır. Üçüncüsü, analizdir: Standart, sistemin sağlığını sekiz soruyla sınar.</w:t>
      </w:r>
    </w:p>
    <w:p>
      <w:pPr>
        <w:pStyle w:val="Heading3"/>
        <w:keepNext/>
        <w:spacing w:after="80" w:before="220"/>
      </w:pPr>
      <w:r>
        <w:rPr>
          <w:rFonts w:ascii="Calibri" w:cs="Calibri" w:eastAsia="Calibri" w:hAnsi="Calibri"/>
          <w:b/>
          <w:bCs/>
          <w:color w:val="0B5C8A"/>
          <w:sz w:val="23"/>
          <w:szCs w:val="23"/>
        </w:rPr>
        <w:t xml:space="preserve">Sekiz analiz sorusu</w:t>
      </w:r>
    </w:p>
    <w:p>
      <w:pPr>
        <w:pStyle w:val="ListParagraph"/>
        <w:numPr>
          <w:ilvl w:val="0"/>
          <w:numId w:val="5"/>
        </w:numPr>
        <w:spacing w:after="80" w:line="280"/>
      </w:pPr>
      <w:r>
        <w:rPr>
          <w:rFonts w:ascii="Calibri" w:cs="Calibri" w:eastAsia="Calibri" w:hAnsi="Calibri"/>
          <w:sz w:val="22"/>
          <w:szCs w:val="22"/>
        </w:rPr>
        <w:t xml:space="preserve">İşlevsel hedefler kurumsal hedeflere bağlı mı?</w:t>
      </w:r>
    </w:p>
    <w:p>
      <w:pPr>
        <w:pStyle w:val="ListParagraph"/>
        <w:numPr>
          <w:ilvl w:val="0"/>
          <w:numId w:val="5"/>
        </w:numPr>
        <w:spacing w:after="80" w:line="280"/>
      </w:pPr>
      <w:r>
        <w:rPr>
          <w:rFonts w:ascii="Calibri" w:cs="Calibri" w:eastAsia="Calibri" w:hAnsi="Calibri"/>
          <w:sz w:val="22"/>
          <w:szCs w:val="22"/>
        </w:rPr>
        <w:t xml:space="preserve">Ölçüler KPI içeriyor mu?</w:t>
      </w:r>
    </w:p>
    <w:p>
      <w:pPr>
        <w:pStyle w:val="ListParagraph"/>
        <w:numPr>
          <w:ilvl w:val="0"/>
          <w:numId w:val="5"/>
        </w:numPr>
        <w:spacing w:after="80" w:line="280"/>
      </w:pPr>
      <w:r>
        <w:rPr>
          <w:rFonts w:ascii="Calibri" w:cs="Calibri" w:eastAsia="Calibri" w:hAnsi="Calibri"/>
          <w:sz w:val="22"/>
          <w:szCs w:val="22"/>
        </w:rPr>
        <w:t xml:space="preserve">Hedefler birbirini tamamlıyor mu, yoksa çatışıyor mu?</w:t>
      </w:r>
    </w:p>
    <w:p>
      <w:pPr>
        <w:pStyle w:val="ListParagraph"/>
        <w:numPr>
          <w:ilvl w:val="0"/>
          <w:numId w:val="5"/>
        </w:numPr>
        <w:spacing w:after="80" w:line="280"/>
      </w:pPr>
      <w:r>
        <w:rPr>
          <w:rFonts w:ascii="Calibri" w:cs="Calibri" w:eastAsia="Calibri" w:hAnsi="Calibri"/>
          <w:sz w:val="22"/>
          <w:szCs w:val="22"/>
        </w:rPr>
        <w:t xml:space="preserve">Eksik bir hedef var mı?</w:t>
      </w:r>
    </w:p>
    <w:p>
      <w:pPr>
        <w:pStyle w:val="ListParagraph"/>
        <w:numPr>
          <w:ilvl w:val="0"/>
          <w:numId w:val="5"/>
        </w:numPr>
        <w:spacing w:after="80" w:line="280"/>
      </w:pPr>
      <w:r>
        <w:rPr>
          <w:rFonts w:ascii="Calibri" w:cs="Calibri" w:eastAsia="Calibri" w:hAnsi="Calibri"/>
          <w:sz w:val="22"/>
          <w:szCs w:val="22"/>
        </w:rPr>
        <w:t xml:space="preserve">KPI’lar güncel mi?</w:t>
      </w:r>
    </w:p>
    <w:p>
      <w:pPr>
        <w:pStyle w:val="ListParagraph"/>
        <w:numPr>
          <w:ilvl w:val="0"/>
          <w:numId w:val="5"/>
        </w:numPr>
        <w:spacing w:after="80" w:line="280"/>
      </w:pPr>
      <w:r>
        <w:rPr>
          <w:rFonts w:ascii="Calibri" w:cs="Calibri" w:eastAsia="Calibri" w:hAnsi="Calibri"/>
          <w:sz w:val="22"/>
          <w:szCs w:val="22"/>
        </w:rPr>
        <w:t xml:space="preserve">Uygulamalar birbirini tamamlıyor mu?</w:t>
      </w:r>
    </w:p>
    <w:p>
      <w:pPr>
        <w:pStyle w:val="ListParagraph"/>
        <w:numPr>
          <w:ilvl w:val="0"/>
          <w:numId w:val="5"/>
        </w:numPr>
        <w:spacing w:after="80" w:line="280"/>
      </w:pPr>
      <w:r>
        <w:rPr>
          <w:rFonts w:ascii="Calibri" w:cs="Calibri" w:eastAsia="Calibri" w:hAnsi="Calibri"/>
          <w:sz w:val="22"/>
          <w:szCs w:val="22"/>
        </w:rPr>
        <w:t xml:space="preserve">Ölçüler önem ve sıklık içeriyor mu?</w:t>
      </w:r>
    </w:p>
    <w:p>
      <w:pPr>
        <w:pStyle w:val="ListParagraph"/>
        <w:numPr>
          <w:ilvl w:val="0"/>
          <w:numId w:val="5"/>
        </w:numPr>
        <w:spacing w:after="80" w:line="280"/>
      </w:pPr>
      <w:r>
        <w:rPr>
          <w:rFonts w:ascii="Calibri" w:cs="Calibri" w:eastAsia="Calibri" w:hAnsi="Calibri"/>
          <w:sz w:val="22"/>
          <w:szCs w:val="22"/>
        </w:rPr>
        <w:t xml:space="preserve">Çalışanlar ve müşteriler ilkelerin teslim edildiğini düşünüyor mu?</w:t>
      </w:r>
    </w:p>
    <w:p>
      <w:pPr>
        <w:spacing w:after="140" w:line="288"/>
        <w:jc w:val="left"/>
      </w:pPr>
      <w:r>
        <w:rPr>
          <w:rFonts w:ascii="Calibri" w:cs="Calibri" w:eastAsia="Calibri" w:hAnsi="Calibri"/>
          <w:sz w:val="22"/>
          <w:szCs w:val="22"/>
        </w:rPr>
        <w:t xml:space="preserve">Son soru özellikle değerlidir: Kurum kendi ilkelerini teslim ettiğini söyleyebilir, ama çalışanların ve müşterilerin algısı farklıysa ilke ya iletilmemiştir ya da uygulanmamıştır. İnsan yönetişiminde “tasarım” ile “algı” arasındaki fark, ölçülmesi gereken bir boşluktur.</w:t>
      </w:r>
    </w:p>
    <w:p>
      <w:pPr>
        <w:pStyle w:val="Heading3"/>
        <w:keepNext/>
        <w:spacing w:after="80" w:before="220"/>
      </w:pPr>
      <w:r>
        <w:rPr>
          <w:rFonts w:ascii="Calibri" w:cs="Calibri" w:eastAsia="Calibri" w:hAnsi="Calibri"/>
          <w:b/>
          <w:bCs/>
          <w:color w:val="0B5C8A"/>
          <w:sz w:val="23"/>
          <w:szCs w:val="23"/>
        </w:rPr>
        <w:t xml:space="preserve">Ek A ve Ek B şablonları</w:t>
      </w:r>
    </w:p>
    <w:p>
      <w:pPr>
        <w:spacing w:after="140" w:line="288"/>
        <w:jc w:val="left"/>
      </w:pPr>
      <w:r>
        <w:rPr>
          <w:rFonts w:ascii="Calibri" w:cs="Calibri" w:eastAsia="Calibri" w:hAnsi="Calibri"/>
          <w:sz w:val="22"/>
          <w:szCs w:val="22"/>
        </w:rPr>
        <w:t xml:space="preserve">Standardın iki bilgilendirici eki, doldurulacak şablonlar sunar. A.1, kurumsal ihtiyaçları (vizyon, misyon, dört satırlık ilke alanı, strateji ve temel insan yönetişimi hedefleri) toplar. A.2, bir işlevin hedeflerini gözden geçirir (mevcut hedefler, hedef ölçüler, izleme takvimi, sonuçlar, eylem adımları). A.3, aynı alanlarla tek bir uygulamayı raporlar. A.4 değer uyumu matrisidir: Bir uygulamanın araçlarının ve süreçlerinin üç ilkenin her birini güçlendirdiğini, zayıflattığını ya da nötr bıraktığını işaretler. B.1 ve B.2 ise kurumsal hedefleri ve işlev-uygulama özet raporlarını sunar.</w:t>
      </w:r>
    </w:p>
    <w:p>
      <w:pPr>
        <w:spacing w:after="140" w:line="288"/>
        <w:jc w:val="left"/>
      </w:pPr>
      <w:r>
        <w:rPr>
          <w:rFonts w:ascii="Calibri" w:cs="Calibri" w:eastAsia="Calibri" w:hAnsi="Calibri"/>
          <w:sz w:val="22"/>
          <w:szCs w:val="22"/>
        </w:rPr>
        <w:t xml:space="preserve">Değer uyumu matrisi (A.4), standardın en özgün araçlarından biridir. Pek çok kurum, ilkelerini bir duvar levhasında ilan eder ama hiçbir uygulamanın bu ilkelerle çelişip çelişmediğini sistematik olarak sınamaz. Matris bunu sınamaya zorlar: Her satıra bir araç ya da süreç yazılır (örneğin “yıllık ücret zammı süreci”, “iç terfi duyurusu”), her sütun bir ilkeyi temsil eder ve hücrelere “güçlendiriyor”, “zayıflatıyor” ya da “nötr” yazılır. Zayıflatan her hücre, bir eylem maddesi demektir.</w:t>
      </w:r>
    </w:p>
    <w:p>
      <w:pPr>
        <w:pStyle w:val="Heading2"/>
        <w:keepNext/>
        <w:spacing w:after="110" w:before="320"/>
      </w:pPr>
      <w:r>
        <w:rPr>
          <w:rFonts w:ascii="Calibri" w:cs="Calibri" w:eastAsia="Calibri" w:hAnsi="Calibri"/>
          <w:b/>
          <w:bCs/>
          <w:sz w:val="27"/>
          <w:szCs w:val="27"/>
        </w:rPr>
        <w:t xml:space="preserve">1.2.6  Uygulama adımları</w:t>
      </w:r>
    </w:p>
    <w:p>
      <w:pPr>
        <w:spacing w:after="140" w:line="288"/>
        <w:jc w:val="left"/>
      </w:pPr>
      <w:r>
        <w:rPr>
          <w:rFonts w:ascii="Calibri" w:cs="Calibri" w:eastAsia="Calibri" w:hAnsi="Calibri"/>
          <w:sz w:val="22"/>
          <w:szCs w:val="22"/>
        </w:rPr>
        <w:t xml:space="preserve">Standardın yedinci maddesi, insan yönetişimini hayata geçirmek için dokuz maddelik (a–i) bir liste verir. Rehber sayfası bunları sekiz çalışma adımında toplar:</w:t>
      </w:r>
    </w:p>
    <w:p>
      <w:pPr>
        <w:pStyle w:val="ListParagraph"/>
        <w:numPr>
          <w:ilvl w:val="0"/>
          <w:numId w:val="6"/>
        </w:numPr>
        <w:spacing w:after="80" w:line="280"/>
      </w:pPr>
      <w:r>
        <w:rPr>
          <w:rFonts w:ascii="Calibri" w:cs="Calibri" w:eastAsia="Calibri" w:hAnsi="Calibri"/>
          <w:b/>
          <w:bCs/>
          <w:sz w:val="22"/>
          <w:szCs w:val="22"/>
        </w:rPr>
        <w:t xml:space="preserve">İlkeleri tanımlayın</w:t>
      </w:r>
      <w:r>
        <w:rPr>
          <w:rFonts w:ascii="Calibri" w:cs="Calibri" w:eastAsia="Calibri" w:hAnsi="Calibri"/>
          <w:sz w:val="22"/>
          <w:szCs w:val="22"/>
        </w:rPr>
        <w:t xml:space="preserve"> ve kuruma uygunluğunu doğrulayın (7 a).</w:t>
      </w:r>
    </w:p>
    <w:p>
      <w:pPr>
        <w:pStyle w:val="ListParagraph"/>
        <w:numPr>
          <w:ilvl w:val="0"/>
          <w:numId w:val="6"/>
        </w:numPr>
        <w:spacing w:after="80" w:line="280"/>
      </w:pPr>
      <w:r>
        <w:rPr>
          <w:rFonts w:ascii="Calibri" w:cs="Calibri" w:eastAsia="Calibri" w:hAnsi="Calibri"/>
          <w:b/>
          <w:bCs/>
          <w:sz w:val="22"/>
          <w:szCs w:val="22"/>
        </w:rPr>
        <w:t xml:space="preserve">Çerçeveyi geliştirin</w:t>
      </w:r>
      <w:r>
        <w:rPr>
          <w:rFonts w:ascii="Calibri" w:cs="Calibri" w:eastAsia="Calibri" w:hAnsi="Calibri"/>
          <w:sz w:val="22"/>
          <w:szCs w:val="22"/>
        </w:rPr>
        <w:t xml:space="preserve"> ve hedefleri iş planıyla hizalayın; yönetim kurulunun taahhüdünü ve üst yönetimin KPI’larını belirleyin (7 b, c).</w:t>
      </w:r>
    </w:p>
    <w:p>
      <w:pPr>
        <w:pStyle w:val="ListParagraph"/>
        <w:numPr>
          <w:ilvl w:val="0"/>
          <w:numId w:val="6"/>
        </w:numPr>
        <w:spacing w:after="80" w:line="280"/>
      </w:pPr>
      <w:r>
        <w:rPr>
          <w:rFonts w:ascii="Calibri" w:cs="Calibri" w:eastAsia="Calibri" w:hAnsi="Calibri"/>
          <w:b/>
          <w:bCs/>
          <w:sz w:val="22"/>
          <w:szCs w:val="22"/>
        </w:rPr>
        <w:t xml:space="preserve">Proje ve girişimleri hizalayın:</w:t>
      </w:r>
      <w:r>
        <w:rPr>
          <w:rFonts w:ascii="Calibri" w:cs="Calibri" w:eastAsia="Calibri" w:hAnsi="Calibri"/>
          <w:sz w:val="22"/>
          <w:szCs w:val="22"/>
        </w:rPr>
        <w:t xml:space="preserve"> Sistemi uygulayan, pekiştiren, gözden geçiren ve sürdüren girişimleri belirleyin (7 d).</w:t>
      </w:r>
    </w:p>
    <w:p>
      <w:pPr>
        <w:pStyle w:val="ListParagraph"/>
        <w:numPr>
          <w:ilvl w:val="0"/>
          <w:numId w:val="6"/>
        </w:numPr>
        <w:spacing w:after="80" w:line="280"/>
      </w:pPr>
      <w:r>
        <w:rPr>
          <w:rFonts w:ascii="Calibri" w:cs="Calibri" w:eastAsia="Calibri" w:hAnsi="Calibri"/>
          <w:b/>
          <w:bCs/>
          <w:sz w:val="22"/>
          <w:szCs w:val="22"/>
        </w:rPr>
        <w:t xml:space="preserve">Hizalama sürecini işletin:</w:t>
      </w:r>
      <w:r>
        <w:rPr>
          <w:rFonts w:ascii="Calibri" w:cs="Calibri" w:eastAsia="Calibri" w:hAnsi="Calibri"/>
          <w:sz w:val="22"/>
          <w:szCs w:val="22"/>
        </w:rPr>
        <w:t xml:space="preserve"> İK işlevlerinin değer katışını, hedeflerini ve ölçülerini iş hedefleriyle hizalayın (6.1).</w:t>
      </w:r>
    </w:p>
    <w:p>
      <w:pPr>
        <w:pStyle w:val="ListParagraph"/>
        <w:numPr>
          <w:ilvl w:val="0"/>
          <w:numId w:val="6"/>
        </w:numPr>
        <w:spacing w:after="80" w:line="280"/>
      </w:pPr>
      <w:r>
        <w:rPr>
          <w:rFonts w:ascii="Calibri" w:cs="Calibri" w:eastAsia="Calibri" w:hAnsi="Calibri"/>
          <w:b/>
          <w:bCs/>
          <w:sz w:val="22"/>
          <w:szCs w:val="22"/>
        </w:rPr>
        <w:t xml:space="preserve">İşlev, uygulama ve süreçleri belirleyin:</w:t>
      </w:r>
      <w:r>
        <w:rPr>
          <w:rFonts w:ascii="Calibri" w:cs="Calibri" w:eastAsia="Calibri" w:hAnsi="Calibri"/>
          <w:sz w:val="22"/>
          <w:szCs w:val="22"/>
        </w:rPr>
        <w:t xml:space="preserve"> Hedef, ölçü, kabul edilebilir aralık, araç ve süreçler; ilkelere etkisi; paydaş geri bildirimi (6.3.3).</w:t>
      </w:r>
    </w:p>
    <w:p>
      <w:pPr>
        <w:pStyle w:val="ListParagraph"/>
        <w:numPr>
          <w:ilvl w:val="0"/>
          <w:numId w:val="6"/>
        </w:numPr>
        <w:spacing w:after="80" w:line="280"/>
      </w:pPr>
      <w:r>
        <w:rPr>
          <w:rFonts w:ascii="Calibri" w:cs="Calibri" w:eastAsia="Calibri" w:hAnsi="Calibri"/>
          <w:b/>
          <w:bCs/>
          <w:sz w:val="22"/>
          <w:szCs w:val="22"/>
        </w:rPr>
        <w:t xml:space="preserve">İletin ve raporlayın:</w:t>
      </w:r>
      <w:r>
        <w:rPr>
          <w:rFonts w:ascii="Calibri" w:cs="Calibri" w:eastAsia="Calibri" w:hAnsi="Calibri"/>
          <w:sz w:val="22"/>
          <w:szCs w:val="22"/>
        </w:rPr>
        <w:t xml:space="preserve"> Değer, misyon ve vizyon bildirimlerini ve özet raporu paylaşın; belgelenmiş bilgi saklayın (6.2, 7 e).</w:t>
      </w:r>
    </w:p>
    <w:p>
      <w:pPr>
        <w:pStyle w:val="ListParagraph"/>
        <w:numPr>
          <w:ilvl w:val="0"/>
          <w:numId w:val="6"/>
        </w:numPr>
        <w:spacing w:after="80" w:line="280"/>
      </w:pPr>
      <w:r>
        <w:rPr>
          <w:rFonts w:ascii="Calibri" w:cs="Calibri" w:eastAsia="Calibri" w:hAnsi="Calibri"/>
          <w:b/>
          <w:bCs/>
          <w:sz w:val="22"/>
          <w:szCs w:val="22"/>
        </w:rPr>
        <w:t xml:space="preserve">Katılımı ve izlemeyi sağlayın:</w:t>
      </w:r>
      <w:r>
        <w:rPr>
          <w:rFonts w:ascii="Calibri" w:cs="Calibri" w:eastAsia="Calibri" w:hAnsi="Calibri"/>
          <w:sz w:val="22"/>
          <w:szCs w:val="22"/>
        </w:rPr>
        <w:t xml:space="preserve"> Her düzeyde etkin katılım ve ilkelerin tanımlı ölçülerle izlenmesi (7 g, h).</w:t>
      </w:r>
    </w:p>
    <w:p>
      <w:pPr>
        <w:pStyle w:val="ListParagraph"/>
        <w:numPr>
          <w:ilvl w:val="0"/>
          <w:numId w:val="6"/>
        </w:numPr>
        <w:spacing w:after="80" w:line="280"/>
      </w:pPr>
      <w:r>
        <w:rPr>
          <w:rFonts w:ascii="Calibri" w:cs="Calibri" w:eastAsia="Calibri" w:hAnsi="Calibri"/>
          <w:b/>
          <w:bCs/>
          <w:sz w:val="22"/>
          <w:szCs w:val="22"/>
        </w:rPr>
        <w:t xml:space="preserve">Analiz edin ve düzeltin:</w:t>
      </w:r>
      <w:r>
        <w:rPr>
          <w:rFonts w:ascii="Calibri" w:cs="Calibri" w:eastAsia="Calibri" w:hAnsi="Calibri"/>
          <w:sz w:val="22"/>
          <w:szCs w:val="22"/>
        </w:rPr>
        <w:t xml:space="preserve"> Sekiz analiz sorusu, gözden geçirme ve ilkelerin performans, kültür ve faaliyetlere entegrasyonu (6.3.4, 7 f, i).</w:t>
      </w:r>
    </w:p>
    <w:p>
      <w:pPr>
        <w:spacing w:after="140" w:line="288"/>
        <w:jc w:val="left"/>
      </w:pPr>
      <w:r>
        <w:rPr>
          <w:rFonts w:ascii="Calibri" w:cs="Calibri" w:eastAsia="Calibri" w:hAnsi="Calibri"/>
          <w:sz w:val="22"/>
          <w:szCs w:val="22"/>
        </w:rPr>
        <w:t xml:space="preserve">Rehber sayfası bu adımları sürekli bir döngü olarak resmeder; ancak sayfa, bu çizimin kendi yorumu olduğunu açıkça belirtir: Standart şekil içermez ve adımları sıralı bir döngü olarak adlandırmaz.</w:t>
      </w:r>
    </w:p>
    <w:p>
      <w:pPr>
        <w:pStyle w:val="Heading2"/>
        <w:keepNext/>
        <w:spacing w:after="110" w:before="320"/>
      </w:pPr>
      <w:r>
        <w:rPr>
          <w:rFonts w:ascii="Calibri" w:cs="Calibri" w:eastAsia="Calibri" w:hAnsi="Calibri"/>
          <w:b/>
          <w:bCs/>
          <w:sz w:val="27"/>
          <w:szCs w:val="27"/>
        </w:rPr>
        <w:t xml:space="preserve">1.2.7  Sayıya dökmek: türetilmiş formüller</w:t>
      </w:r>
    </w:p>
    <w:p>
      <w:pPr>
        <w:spacing w:after="140" w:line="288"/>
        <w:jc w:val="left"/>
      </w:pPr>
      <w:r>
        <w:rPr>
          <w:rFonts w:ascii="Calibri" w:cs="Calibri" w:eastAsia="Calibri" w:hAnsi="Calibri"/>
          <w:sz w:val="22"/>
          <w:szCs w:val="22"/>
        </w:rPr>
        <w:t xml:space="preserve">Standart hiçbir sayı vermese de, hedef, kabul edilebilir sonuç aralığı, KPI ve değer uyumu gibi kavramlar sayıya dökülebilir. Rehber sayfası bunun için bir dizi türetilmiş hesap sunar. Bunların standardın değil, sayfanın katkısı olduğu ve standart eşiği içermediği akılda tutulmalıdır.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338"/>
        <w:gridCol w:w="2700"/>
      </w:tblGrid>
      <w:tr>
        <w:trPr>
          <w:cantSplit/>
          <w:tblHeader/>
        </w:trPr>
        <w:tc>
          <w:tcPr>
            <w:tcW w:type="dxa" w:w="26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Hesap</w:t>
            </w:r>
          </w:p>
        </w:tc>
        <w:tc>
          <w:tcPr>
            <w:tcW w:type="dxa" w:w="4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Formül</w:t>
            </w:r>
          </w:p>
        </w:tc>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gösterir?</w:t>
            </w:r>
          </w:p>
        </w:tc>
      </w:tr>
      <w:tr>
        <w:trPr>
          <w:cantSplit/>
        </w:trPr>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Hedefe göre sapma</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((Sonuç − Hedef) ÷ Hedef) × 100</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Sonucun hedeften yüzde kaç saptığı</w:t>
            </w:r>
          </w:p>
        </w:tc>
      </w:tr>
      <w:tr>
        <w:trPr>
          <w:cantSplit/>
        </w:trPr>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Kabul edilebilir aralık sapması</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Sonuç − alt sınır (altındaysa); sonuç − üst sınır (üstündeyse); 0 (aralıktaysa)</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Aralığın dışına ne kadar çıkıldığı</w:t>
            </w:r>
          </w:p>
        </w:tc>
      </w:tr>
      <w:tr>
        <w:trPr>
          <w:cantSplit/>
        </w:trPr>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Değer uyum puanı</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((Güçlendiren − Zayıflatan) ÷ (Güçlendiren + Nötr + Zayıflatan)) × 100</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Araçların ilkeleri ne ölçüde güçlendirdiği (−100…+100)</w:t>
            </w:r>
          </w:p>
        </w:tc>
      </w:tr>
      <w:tr>
        <w:trPr>
          <w:cantSplit/>
        </w:trPr>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Hedef ve ölçü bağlantı oranı</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(Kurumsal hedefe ya da KPI’ya bağlı hedef ve ölçü ÷ toplam) × 100</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Hizalamanın derecesi</w:t>
            </w:r>
          </w:p>
        </w:tc>
      </w:tr>
      <w:tr>
        <w:trPr>
          <w:cantSplit/>
        </w:trPr>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İlkelerin teslim edildiği algısı</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(Olumlu yanıt ÷ toplam yanıt) × 100</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Tasarım–algı farkının ölçüsü</w:t>
            </w:r>
          </w:p>
        </w:tc>
      </w:tr>
      <w:tr>
        <w:trPr>
          <w:cantSplit/>
        </w:trPr>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İzleme takvimine uyum</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(Tamamlanan gözden geçirme ÷ planlanan) × 100</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Sistemin düzenli işleyip işlemediği</w:t>
            </w:r>
          </w:p>
        </w:tc>
      </w:tr>
      <w:tr>
        <w:trPr>
          <w:cantSplit/>
        </w:trPr>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Paydaş katılım oranı</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(Katılan ÷ hedef kitle) × 100</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Katılımın genişliği</w:t>
            </w:r>
          </w:p>
        </w:tc>
      </w:tr>
      <w:tr>
        <w:trPr>
          <w:cantSplit/>
        </w:trPr>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Uygulama kapsaması</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((Uygulanan + 0,5 × kısmen uygulanan) ÷ ifade sayısı) × 100</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Standardın “kurum şunu yapmalı” ifadelerinden ne kadarının uygulandığı</w:t>
            </w:r>
          </w:p>
        </w:tc>
      </w:tr>
    </w:tbl>
    <w:p>
      <w:pPr>
        <w:spacing w:after="140"/>
      </w:pPr>
    </w:p>
    <w:p>
      <w:pPr>
        <w:spacing w:after="140" w:line="288"/>
        <w:jc w:val="left"/>
      </w:pPr>
      <w:r>
        <w:rPr>
          <w:rFonts w:ascii="Calibri" w:cs="Calibri" w:eastAsia="Calibri" w:hAnsi="Calibri"/>
          <w:sz w:val="22"/>
          <w:szCs w:val="22"/>
        </w:rPr>
        <w:t xml:space="preserve">Bu hesapların kullanımını bir örnekle görelim. Bir kurum A.4 matrisinde 12 araç ve süreç değerlendirmiş olsun; 7’si ilkeleri güçlendiriyor, 3’ü nötr, 2’si zayıflatıyor. Değer uyum puanı ((7 − 2) ÷ 12) × 100 = %41,7’dir. Bu sayı “yüzde 41,7 iyi” demek değildir; “güçlendirenlerin zayıflatanlardan fazla olduğu, ancak iki aracın acilen gözden geçirilmesi gerektiği” anlamına gelir. Önemli olan puandan çok, iki zayıflatan aracın adıdır.</w:t>
      </w:r>
    </w:p>
    <w:p>
      <w:pPr>
        <w:spacing w:after="140" w:line="288"/>
        <w:jc w:val="left"/>
      </w:pPr>
      <w:r>
        <w:rPr>
          <w:rFonts w:ascii="Calibri" w:cs="Calibri" w:eastAsia="Calibri" w:hAnsi="Calibri"/>
          <w:sz w:val="22"/>
          <w:szCs w:val="22"/>
        </w:rPr>
        <w:t xml:space="preserve">Kapsama puanı da benzer şekilde kullanılır; fakat bir uygunluk puanı değildir. Rehber sayfası, standardın 57 “kurum şunu yapmalı” ifadesini sayar ve her biri için tam, kısmen ya da hiç uygulanmadığını işaretlemenize olanak tanır; kısmen uygulananlar yarım sayılır. Ancak hangi ifadelerin kurumunuza uygulanabilir olduğunu siz belirlersiniz ve yüksek kapsama, rollerin gerçekten üstlenildiğinin kanıtı değildir.</w:t>
      </w:r>
    </w:p>
    <w:p>
      <w:pPr>
        <w:pStyle w:val="Heading2"/>
        <w:keepNext/>
        <w:spacing w:after="110" w:before="320"/>
      </w:pPr>
      <w:r>
        <w:rPr>
          <w:rFonts w:ascii="Calibri" w:cs="Calibri" w:eastAsia="Calibri" w:hAnsi="Calibri"/>
          <w:b/>
          <w:bCs/>
          <w:sz w:val="27"/>
          <w:szCs w:val="27"/>
        </w:rPr>
        <w:t xml:space="preserve">1.2.8  Raporlama ve iletişim</w:t>
      </w:r>
    </w:p>
    <w:p>
      <w:pPr>
        <w:spacing w:after="140" w:line="288"/>
        <w:jc w:val="left"/>
      </w:pPr>
      <w:r>
        <w:rPr>
          <w:rFonts w:ascii="Calibri" w:cs="Calibri" w:eastAsia="Calibri" w:hAnsi="Calibri"/>
          <w:sz w:val="22"/>
          <w:szCs w:val="22"/>
        </w:rPr>
        <w:t xml:space="preserve">İnsan yönetişimi raporu, alıcıya göre farklı derinlikte hazırlanır. Yönetim kurulu için kısa, dönemsel bir özet rapor yeterlidir; üst yönetim kendi KPI sonuçlarını ve sapma planlarını görmek ister; operasyonel yönetim ayrıntılı işlev ve uygulama raporlarına ihtiyaç duyar; çalışanlar ve diğer paydaşlar ise değer, misyon ve vizyon bildirimlerini ve özet raporu bekler.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538"/>
        <w:gridCol w:w="2800"/>
      </w:tblGrid>
      <w:tr>
        <w:trPr>
          <w:cantSplit/>
          <w:tblHeader/>
        </w:trPr>
        <w:tc>
          <w:tcPr>
            <w:tcW w:type="dxa" w:w="2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Alıcı</w:t>
            </w:r>
          </w:p>
        </w:tc>
        <w:tc>
          <w:tcPr>
            <w:tcW w:type="dxa" w:w="45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görmek ister?</w:t>
            </w:r>
          </w:p>
        </w:tc>
        <w:tc>
          <w:tcPr>
            <w:tcW w:type="dxa" w:w="2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Biçim</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Yönetim kurulu</w:t>
            </w:r>
          </w:p>
        </w:tc>
        <w:tc>
          <w:tcPr>
            <w:tcW w:type="dxa" w:w="4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Sistemin durumu, kurumsal ihtiyaçlarla hizası, önemli sapmalar, alınan eylemler, uzun vadeli değere katkı</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Kısa özet rapor, dönemsel</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Üst yönetim</w:t>
            </w:r>
          </w:p>
        </w:tc>
        <w:tc>
          <w:tcPr>
            <w:tcW w:type="dxa" w:w="4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KPI sonuçları, kabul edilebilir aralık durumu, A.2 ve A.3 raporları, sapma planları, analiz soruları ve boşluklar</w:t>
            </w:r>
          </w:p>
        </w:tc>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Rapor şablonları, düzenli gözden geçirme</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Operasyonel yönetim ve İK</w:t>
            </w:r>
          </w:p>
        </w:tc>
        <w:tc>
          <w:tcPr>
            <w:tcW w:type="dxa" w:w="4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İşlev ve uygulama hedefleri, ölçüler, değer uyumu matrisi, araç ve süreç değişiklikleri</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Ayrıntılı işlev ve uygulama raporları</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Çalışanlar ve paydaşlar</w:t>
            </w:r>
          </w:p>
        </w:tc>
        <w:tc>
          <w:tcPr>
            <w:tcW w:type="dxa" w:w="4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Değer, misyon, vizyon bildirimleri ve özet rapor; geri bildirim kanalları</w:t>
            </w:r>
          </w:p>
        </w:tc>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Duyuru ve özet rapor; talep üzerine erişilebilir belgelenmiş bilgi</w:t>
            </w:r>
          </w:p>
        </w:tc>
      </w:tr>
    </w:tbl>
    <w:p>
      <w:pPr>
        <w:spacing w:after="140"/>
      </w:pPr>
    </w:p>
    <w:p>
      <w:pPr>
        <w:spacing w:after="140" w:line="288"/>
        <w:jc w:val="left"/>
      </w:pPr>
      <w:r>
        <w:rPr>
          <w:rFonts w:ascii="Calibri" w:cs="Calibri" w:eastAsia="Calibri" w:hAnsi="Calibri"/>
          <w:sz w:val="22"/>
          <w:szCs w:val="22"/>
        </w:rPr>
        <w:t xml:space="preserve">Rehber, her insan yönetişimi raporunda şunların bulunmasını önerir: kurumun ihtiyaçları (vizyon, değer, misyon, strateji, KPI’lar ve başarı ölçüleri); organizasyon şeması ve raporlama ilişkileri; işlev, uygulama ve süreçlerin hedefleri, ölçüleri ve kabul edilebilir aralıkları; araç ve süreçlerin ilkelere etkisi; analiz sonuçları ve boşluklar; eylem adımları ve izleme takvimi.</w:t>
      </w:r>
    </w:p>
    <w:p>
      <w:pPr>
        <w:pStyle w:val="Heading2"/>
        <w:keepNext/>
        <w:spacing w:after="110" w:before="320"/>
      </w:pPr>
      <w:r>
        <w:rPr>
          <w:rFonts w:ascii="Calibri" w:cs="Calibri" w:eastAsia="Calibri" w:hAnsi="Calibri"/>
          <w:b/>
          <w:bCs/>
          <w:sz w:val="27"/>
          <w:szCs w:val="27"/>
        </w:rPr>
        <w:t xml:space="preserve">1.2.9  Yorum ve sınırlamalar</w:t>
      </w:r>
    </w:p>
    <w:p>
      <w:pPr>
        <w:spacing w:after="140" w:line="288"/>
        <w:jc w:val="left"/>
      </w:pPr>
      <w:r>
        <w:rPr>
          <w:rFonts w:ascii="Calibri" w:cs="Calibri" w:eastAsia="Calibri" w:hAnsi="Calibri"/>
          <w:sz w:val="22"/>
          <w:szCs w:val="22"/>
        </w:rPr>
        <w:t xml:space="preserve">İnsan yönetişimi sayılarla değil, sistemle ilgilidir; yine de bir sayı üretildiğinde onun nasıl okunacağı önemlidir. Rehber sayfasının yorum notları şunlardır:</w:t>
      </w:r>
    </w:p>
    <w:p>
      <w:pPr>
        <w:pStyle w:val="ListParagraph"/>
        <w:numPr>
          <w:ilvl w:val="0"/>
          <w:numId w:val="2"/>
        </w:numPr>
        <w:spacing w:after="80" w:line="280"/>
      </w:pPr>
      <w:r>
        <w:rPr>
          <w:rFonts w:ascii="Calibri" w:cs="Calibri" w:eastAsia="Calibri" w:hAnsi="Calibri"/>
          <w:b/>
          <w:bCs/>
          <w:sz w:val="22"/>
          <w:szCs w:val="22"/>
        </w:rPr>
        <w:t xml:space="preserve">Hedefin yönünü belirleyin.</w:t>
      </w:r>
      <w:r>
        <w:rPr>
          <w:rFonts w:ascii="Calibri" w:cs="Calibri" w:eastAsia="Calibri" w:hAnsi="Calibri"/>
          <w:sz w:val="22"/>
          <w:szCs w:val="22"/>
        </w:rPr>
        <w:t xml:space="preserve"> Gönüllü ayrılmada hedefin altı iyi olabilir, eğitim saatinde hedefin altı kötü olabilir; sapmanın işareti tek başına yorumlanmaz. Bu yüzden her ölçü için kabul edilebilir aralık ayrıca tanımlanır.</w:t>
      </w:r>
    </w:p>
    <w:p>
      <w:pPr>
        <w:pStyle w:val="ListParagraph"/>
        <w:numPr>
          <w:ilvl w:val="0"/>
          <w:numId w:val="2"/>
        </w:numPr>
        <w:spacing w:after="80" w:line="280"/>
      </w:pPr>
      <w:r>
        <w:rPr>
          <w:rFonts w:ascii="Calibri" w:cs="Calibri" w:eastAsia="Calibri" w:hAnsi="Calibri"/>
          <w:b/>
          <w:bCs/>
          <w:sz w:val="22"/>
          <w:szCs w:val="22"/>
        </w:rPr>
        <w:t xml:space="preserve">“Önemli” sapmayı kurum tanımlar.</w:t>
      </w:r>
      <w:r>
        <w:rPr>
          <w:rFonts w:ascii="Calibri" w:cs="Calibri" w:eastAsia="Calibri" w:hAnsi="Calibri"/>
          <w:sz w:val="22"/>
          <w:szCs w:val="22"/>
        </w:rPr>
        <w:t xml:space="preserve"> Standart önemli sapmalarda plan ve raporlama prosedürü ister, ancak “önemli”yi tanımlamaz. Aralık dışı her sonucu otomatik önemli saymayın; ölçünün iş etkisini değerlendirin.</w:t>
      </w:r>
    </w:p>
    <w:p>
      <w:pPr>
        <w:pStyle w:val="ListParagraph"/>
        <w:numPr>
          <w:ilvl w:val="0"/>
          <w:numId w:val="2"/>
        </w:numPr>
        <w:spacing w:after="80" w:line="280"/>
      </w:pPr>
      <w:r>
        <w:rPr>
          <w:rFonts w:ascii="Calibri" w:cs="Calibri" w:eastAsia="Calibri" w:hAnsi="Calibri"/>
          <w:b/>
          <w:bCs/>
          <w:sz w:val="22"/>
          <w:szCs w:val="22"/>
        </w:rPr>
        <w:t xml:space="preserve">Araçlar ilkeleri zayıflatabilir.</w:t>
      </w:r>
      <w:r>
        <w:rPr>
          <w:rFonts w:ascii="Calibri" w:cs="Calibri" w:eastAsia="Calibri" w:hAnsi="Calibri"/>
          <w:sz w:val="22"/>
          <w:szCs w:val="22"/>
        </w:rPr>
        <w:t xml:space="preserve"> İyi niyetle kurulmuş bir araç (örneğin gizli ücret politikası) şeffaflık ilkesine karşı çalışabilir; düzeltilmeli ya da ilkenin nasıl iletileceği gözden geçirilmelidir.</w:t>
      </w:r>
    </w:p>
    <w:p>
      <w:pPr>
        <w:pStyle w:val="ListParagraph"/>
        <w:numPr>
          <w:ilvl w:val="0"/>
          <w:numId w:val="2"/>
        </w:numPr>
        <w:spacing w:after="80" w:line="280"/>
      </w:pPr>
      <w:r>
        <w:rPr>
          <w:rFonts w:ascii="Calibri" w:cs="Calibri" w:eastAsia="Calibri" w:hAnsi="Calibri"/>
          <w:b/>
          <w:bCs/>
          <w:sz w:val="22"/>
          <w:szCs w:val="22"/>
        </w:rPr>
        <w:t xml:space="preserve">Algıyı da ölçün.</w:t>
      </w:r>
      <w:r>
        <w:rPr>
          <w:rFonts w:ascii="Calibri" w:cs="Calibri" w:eastAsia="Calibri" w:hAnsi="Calibri"/>
          <w:sz w:val="22"/>
          <w:szCs w:val="22"/>
        </w:rPr>
        <w:t xml:space="preserve"> Tasarım ile algı arasındaki fark, ilkenin iletilmediğini ya da uygulanmadığını gösterebilir.</w:t>
      </w:r>
    </w:p>
    <w:p>
      <w:pPr>
        <w:pStyle w:val="ListParagraph"/>
        <w:numPr>
          <w:ilvl w:val="0"/>
          <w:numId w:val="2"/>
        </w:numPr>
        <w:spacing w:after="80" w:line="280"/>
      </w:pPr>
      <w:r>
        <w:rPr>
          <w:rFonts w:ascii="Calibri" w:cs="Calibri" w:eastAsia="Calibri" w:hAnsi="Calibri"/>
          <w:b/>
          <w:bCs/>
          <w:sz w:val="22"/>
          <w:szCs w:val="22"/>
        </w:rPr>
        <w:t xml:space="preserve">Hedefler birbirini tamamlamalı.</w:t>
      </w:r>
      <w:r>
        <w:rPr>
          <w:rFonts w:ascii="Calibri" w:cs="Calibri" w:eastAsia="Calibri" w:hAnsi="Calibri"/>
          <w:sz w:val="22"/>
          <w:szCs w:val="22"/>
        </w:rPr>
        <w:t xml:space="preserve"> Maliyet düşürme ile eğitim yatırımı gibi çatışan hedefler analiz sorularında açıkça sorulur; bağlantı oranı yüksek olsa bile çatışmalar ayrıca incelenmelidir.</w:t>
      </w:r>
    </w:p>
    <w:p>
      <w:pPr>
        <w:pStyle w:val="ListParagraph"/>
        <w:numPr>
          <w:ilvl w:val="0"/>
          <w:numId w:val="2"/>
        </w:numPr>
        <w:spacing w:after="80" w:line="280"/>
      </w:pPr>
      <w:r>
        <w:rPr>
          <w:rFonts w:ascii="Calibri" w:cs="Calibri" w:eastAsia="Calibri" w:hAnsi="Calibri"/>
          <w:b/>
          <w:bCs/>
          <w:sz w:val="22"/>
          <w:szCs w:val="22"/>
        </w:rPr>
        <w:t xml:space="preserve">Sistem ancak hesap verebilirlik varsa işler.</w:t>
      </w:r>
      <w:r>
        <w:rPr>
          <w:rFonts w:ascii="Calibri" w:cs="Calibri" w:eastAsia="Calibri" w:hAnsi="Calibri"/>
          <w:sz w:val="22"/>
          <w:szCs w:val="22"/>
        </w:rPr>
        <w:t xml:space="preserve"> Kapsama puanı, yönetim kurulunun ve üst yönetimin rollerini üstlendiğinin kanıtı değildir.</w:t>
      </w:r>
    </w:p>
    <w:p>
      <w:pPr>
        <w:spacing w:after="140" w:line="288"/>
        <w:jc w:val="left"/>
      </w:pPr>
      <w:r>
        <w:rPr>
          <w:rFonts w:ascii="Calibri" w:cs="Calibri" w:eastAsia="Calibri" w:hAnsi="Calibri"/>
          <w:sz w:val="22"/>
          <w:szCs w:val="22"/>
        </w:rPr>
        <w:t xml:space="preserve">Rehber sayfası, standardın metnindeki bazı tutarsızlıkları da kayda geçirir; bunlar uygulamada kafa karışıklığına yol açabilir. Madde 4 üç ilke sayarken A.1 şablonu dört satır bırakır; ayrıca şeffaflık ile açıklık kavramsal olarak örtüşür. Madde 6.3.3 g her uygulama için kabul edilebilir sonuç aralığı ister, ama A.2 ve A.3 şablonlarında bunun için bir alan yoktur. Madde 5.4.2’nin öznesi belirsizdir; 5.3 ve 5.4.3’te üst yönetimin görevleri iki ayrı yerde, kısmen örtüşerek sıralanır. Bu tür tutarsızlıklar, standardı bir kontrol listesi gibi değil, bir düşünme çerçevesi gibi okumanın gerekçesidir.</w:t>
      </w:r>
    </w:p>
    <w:p>
      <w:pPr>
        <w:pStyle w:val="Heading2"/>
        <w:keepNext/>
        <w:spacing w:after="110" w:before="320"/>
      </w:pPr>
      <w:r>
        <w:rPr>
          <w:rFonts w:ascii="Calibri" w:cs="Calibri" w:eastAsia="Calibri" w:hAnsi="Calibri"/>
          <w:b/>
          <w:bCs/>
          <w:sz w:val="27"/>
          <w:szCs w:val="27"/>
        </w:rPr>
        <w:t xml:space="preserve">1.2.10  Uygulama: küçük adımlarla başlamak</w:t>
      </w:r>
    </w:p>
    <w:p>
      <w:pPr>
        <w:spacing w:after="140" w:line="288"/>
        <w:jc w:val="left"/>
      </w:pPr>
      <w:r>
        <w:rPr>
          <w:rFonts w:ascii="Calibri" w:cs="Calibri" w:eastAsia="Calibri" w:hAnsi="Calibri"/>
          <w:sz w:val="22"/>
          <w:szCs w:val="22"/>
        </w:rPr>
        <w:t xml:space="preserve">İnsan yönetişimi, büyük bir proje olarak başlatılırsa ağırlığı altında ezilebilir. Standart her büyüklükteki kuruma uygulanabilir ve şablonlar ile sekiz analiz sorusu küçük kurumlar için de kullanılabilir. Pratik bir başlangıç şöyle olabilir: Önce tek bir İK işlevi seçin (örneğin işe alım), bu işlev için A.2 şablonunu doldurun, iki ya da üç hedef ve ölçü tanımlayın ve kabul edilebilir aralığı yazın. Ardından aynı işlevde A.4 matrisini uygulayın. Sonuçları üst yönetime kısa bir sayfa olarak sunun ve sonraki işlevlere genişleyin.</w:t>
      </w:r>
    </w:p>
    <w:p>
      <w:pPr>
        <w:pStyle w:val="Heading3"/>
        <w:keepNext/>
        <w:spacing w:after="80" w:before="220"/>
      </w:pPr>
      <w:r>
        <w:rPr>
          <w:rFonts w:ascii="Calibri" w:cs="Calibri" w:eastAsia="Calibri" w:hAnsi="Calibri"/>
          <w:b/>
          <w:bCs/>
          <w:color w:val="0B5C8A"/>
          <w:sz w:val="23"/>
          <w:szCs w:val="23"/>
        </w:rPr>
        <w:t xml:space="preserve">Uygulama kontrol listesi</w:t>
      </w:r>
    </w:p>
    <w:p>
      <w:pPr>
        <w:pStyle w:val="ListParagraph"/>
        <w:numPr>
          <w:ilvl w:val="0"/>
          <w:numId w:val="7"/>
        </w:numPr>
        <w:spacing w:after="80" w:line="280"/>
      </w:pPr>
      <w:r>
        <w:rPr>
          <w:rFonts w:ascii="Calibri" w:cs="Calibri" w:eastAsia="Calibri" w:hAnsi="Calibri"/>
          <w:sz w:val="22"/>
          <w:szCs w:val="22"/>
        </w:rPr>
        <w:t xml:space="preserve">İnsan yönetişimi ilkeleri yazıldı; kuruma özgü ilkeler (varsa) eklendi.</w:t>
      </w:r>
    </w:p>
    <w:p>
      <w:pPr>
        <w:pStyle w:val="ListParagraph"/>
        <w:numPr>
          <w:ilvl w:val="0"/>
          <w:numId w:val="7"/>
        </w:numPr>
        <w:spacing w:after="80" w:line="280"/>
      </w:pPr>
      <w:r>
        <w:rPr>
          <w:rFonts w:ascii="Calibri" w:cs="Calibri" w:eastAsia="Calibri" w:hAnsi="Calibri"/>
          <w:sz w:val="22"/>
          <w:szCs w:val="22"/>
        </w:rPr>
        <w:t xml:space="preserve">Yönetim kurulunun resmî taahhüdü ve üst yönetimin KPI’ları belirlendi.</w:t>
      </w:r>
    </w:p>
    <w:p>
      <w:pPr>
        <w:pStyle w:val="ListParagraph"/>
        <w:numPr>
          <w:ilvl w:val="0"/>
          <w:numId w:val="7"/>
        </w:numPr>
        <w:spacing w:after="80" w:line="280"/>
      </w:pPr>
      <w:r>
        <w:rPr>
          <w:rFonts w:ascii="Calibri" w:cs="Calibri" w:eastAsia="Calibri" w:hAnsi="Calibri"/>
          <w:sz w:val="22"/>
          <w:szCs w:val="22"/>
        </w:rPr>
        <w:t xml:space="preserve">Her işlev için hedef, ölçü ve kabul edilebilir aralık tanımlandı.</w:t>
      </w:r>
    </w:p>
    <w:p>
      <w:pPr>
        <w:pStyle w:val="ListParagraph"/>
        <w:numPr>
          <w:ilvl w:val="0"/>
          <w:numId w:val="7"/>
        </w:numPr>
        <w:spacing w:after="80" w:line="280"/>
      </w:pPr>
      <w:r>
        <w:rPr>
          <w:rFonts w:ascii="Calibri" w:cs="Calibri" w:eastAsia="Calibri" w:hAnsi="Calibri"/>
          <w:sz w:val="22"/>
          <w:szCs w:val="22"/>
        </w:rPr>
        <w:t xml:space="preserve">Değer uyumu matrisi (A.4) en az bir işlev için dolduruldu; zayıflatan araçlar için eylem belirlendi.</w:t>
      </w:r>
    </w:p>
    <w:p>
      <w:pPr>
        <w:pStyle w:val="ListParagraph"/>
        <w:numPr>
          <w:ilvl w:val="0"/>
          <w:numId w:val="7"/>
        </w:numPr>
        <w:spacing w:after="80" w:line="280"/>
      </w:pPr>
      <w:r>
        <w:rPr>
          <w:rFonts w:ascii="Calibri" w:cs="Calibri" w:eastAsia="Calibri" w:hAnsi="Calibri"/>
          <w:sz w:val="22"/>
          <w:szCs w:val="22"/>
        </w:rPr>
        <w:t xml:space="preserve">Sekiz analiz sorusu yanıtlandı; çalışan algısı ölçüldü.</w:t>
      </w:r>
    </w:p>
    <w:p>
      <w:pPr>
        <w:pStyle w:val="ListParagraph"/>
        <w:numPr>
          <w:ilvl w:val="0"/>
          <w:numId w:val="7"/>
        </w:numPr>
        <w:spacing w:after="80" w:line="280"/>
      </w:pPr>
      <w:r>
        <w:rPr>
          <w:rFonts w:ascii="Calibri" w:cs="Calibri" w:eastAsia="Calibri" w:hAnsi="Calibri"/>
          <w:sz w:val="22"/>
          <w:szCs w:val="22"/>
        </w:rPr>
        <w:t xml:space="preserve">Özet rapor alıcıya göre hazırlandı ve iletildi.</w:t>
      </w:r>
    </w:p>
    <w:p>
      <w:pPr>
        <w:pStyle w:val="ListParagraph"/>
        <w:numPr>
          <w:ilvl w:val="0"/>
          <w:numId w:val="7"/>
        </w:numPr>
        <w:spacing w:after="80" w:line="280"/>
      </w:pPr>
      <w:r>
        <w:rPr>
          <w:rFonts w:ascii="Calibri" w:cs="Calibri" w:eastAsia="Calibri" w:hAnsi="Calibri"/>
          <w:sz w:val="22"/>
          <w:szCs w:val="22"/>
        </w:rPr>
        <w:t xml:space="preserve">İzleme takvimi ve gözden geçirme sorumlusu belirlendi.</w:t>
      </w:r>
    </w:p>
    <w:p>
      <w:pPr>
        <w:spacing w:after="140" w:line="288"/>
        <w:jc w:val="left"/>
      </w:pPr>
      <w:r>
        <w:rPr>
          <w:rFonts w:ascii="Calibri" w:cs="Calibri" w:eastAsia="Calibri" w:hAnsi="Calibri"/>
          <w:sz w:val="22"/>
          <w:szCs w:val="22"/>
        </w:rPr>
        <w:t xml:space="preserve">Sonraki adım: Hedefler, ölçüler ve raporlar ancak dayandıkları veri güvenilir olduğunda anlam taşır. Bu nedenle 1.3’te işgücü verisinin kalitesini inceliyoruz.</w:t>
      </w:r>
    </w:p>
    <w:p>
      <w:pPr>
        <w:pStyle w:val="Heading1"/>
        <w:keepNext/>
        <w:pageBreakBefore/>
        <w:spacing w:after="100" w:before="0"/>
      </w:pPr>
      <w:r>
        <w:rPr>
          <w:rFonts w:ascii="Calibri" w:cs="Calibri" w:eastAsia="Calibri" w:hAnsi="Calibri"/>
          <w:b/>
          <w:bCs/>
          <w:color w:val="0B5C8A"/>
          <w:sz w:val="34"/>
          <w:szCs w:val="34"/>
        </w:rPr>
        <w:t xml:space="preserve">1.3  İşgücü Veri Kalitesi Rehberi ve Metrikleri</w:t>
      </w:r>
    </w:p>
    <w:p>
      <w:pPr>
        <w:keepNext/>
        <w:pBdr>
          <w:bottom w:val="single" w:color="0B5C8A" w:sz="8" w:space="6"/>
        </w:pBdr>
        <w:spacing w:after="220"/>
      </w:pPr>
      <w:r>
        <w:rPr>
          <w:rFonts w:ascii="Calibri" w:cs="Calibri" w:eastAsia="Calibri" w:hAnsi="Calibri"/>
          <w:i/>
          <w:iCs/>
          <w:color w:val="59636F"/>
          <w:sz w:val="26"/>
          <w:szCs w:val="26"/>
        </w:rPr>
        <w:t xml:space="preserve">Metrik üretmeden önce veri kalitesinin güvence altına alınması · ISO 30435</w:t>
      </w:r>
    </w:p>
    <w:p>
      <w:pPr>
        <w:spacing w:after="140" w:line="288"/>
        <w:jc w:val="left"/>
      </w:pPr>
      <w:r>
        <w:rPr>
          <w:rFonts w:ascii="Calibri" w:cs="Calibri" w:eastAsia="Calibri" w:hAnsi="Calibri"/>
          <w:sz w:val="22"/>
          <w:szCs w:val="22"/>
        </w:rPr>
        <w:t xml:space="preserve">Her ölçüm çalışması, bir noktada “bu rakama güvenebilir miyiz?” sorusuyla karşılaşır. Devir oranı yükselmiştir; ama bu gerçek bir yükseliş midir, yoksa departman adlarının yeniden biçimlendirilmesinin ya da tarihsel kayıtların yarım aktarılmasının bir sonucu mu? Bir kurulun karşısına çıkarılan HCROI’nin payda ve payı, hatalı bir bordro aktarımından mı etkilenmiştir? ISO 30435, bu sorulara sistematik yanıt vermek için işgücü verisinin kalitesini yönetme rehberidir. Bu bölümü okuduğunuzda veri kalitesinin beş unsurunu, işgücü yaşam döngüsü çerçevesini, tarihsel veri temizliğini, gözden geçirme sürecini ve örnekleme mantığını öğrenmiş olacaksınız.</w:t>
      </w:r>
    </w:p>
    <w:p>
      <w:pPr>
        <w:pStyle w:val="Heading2"/>
        <w:keepNext/>
        <w:spacing w:after="110" w:before="320"/>
      </w:pPr>
      <w:r>
        <w:rPr>
          <w:rFonts w:ascii="Calibri" w:cs="Calibri" w:eastAsia="Calibri" w:hAnsi="Calibri"/>
          <w:b/>
          <w:bCs/>
          <w:sz w:val="27"/>
          <w:szCs w:val="27"/>
        </w:rPr>
        <w:t xml:space="preserve">1.3.1  Standardın yeri ve odağı</w:t>
      </w:r>
    </w:p>
    <w:p>
      <w:pPr>
        <w:spacing w:after="140" w:line="288"/>
        <w:jc w:val="left"/>
      </w:pPr>
      <w:r>
        <w:rPr>
          <w:rFonts w:ascii="Calibri" w:cs="Calibri" w:eastAsia="Calibri" w:hAnsi="Calibri"/>
          <w:sz w:val="22"/>
          <w:szCs w:val="22"/>
        </w:rPr>
        <w:t xml:space="preserve">ISO 30435:2023, işgücü verisinin kalitesini yönetmek için bir rehberdir. İşgücü veri kalitesini şu süreçler olarak tanımlar: işgücü verisinin belirlenmesi, veri yakalama, veri bakımı ve veri gözden geçirme. Amaç, analizi ve kanıta dayalı karar vermeyi destekleyen kaliteli işgücü verisi üzerine kurulu bir kurumsal iyileştirme tabanı sağlamaktır. Rehber sayfası, standardın BSI uyarlaması olan BS ISO 30435:2023’ü (31 Temmuz 2023) kaynak alır. Standart her tür ve büyüklükte kuruma uygulanabilir.</w:t>
      </w:r>
    </w:p>
    <w:p>
      <w:pPr>
        <w:spacing w:after="140" w:line="288"/>
        <w:jc w:val="left"/>
      </w:pPr>
      <w:r>
        <w:rPr>
          <w:rFonts w:ascii="Calibri" w:cs="Calibri" w:eastAsia="Calibri" w:hAnsi="Calibri"/>
          <w:sz w:val="22"/>
          <w:szCs w:val="22"/>
        </w:rPr>
        <w:t xml:space="preserve">Standardın odağı verinin kendisidir ve bu odak, kapsam dışı bıraktıklarıyla da tanımlanır: Kişisel verinin gizliliği ve güvenliği, verinin analizi ve raporlama yapısı, kalite dışında herhangi bir metriğin tanımı ve teknoloji kullanımı kapsam dışıdır. Bilgi sistemleri, veri tabanları ve elektronik tablolar yakalama ve yönetimi iyileştirebilir, ama standardın konusu veridir. Bu sınır önemlidir: Veri kalitesi ile veri güvenliği ve gizliliği aynı şey değildir. Birincisi “veri doğru ve kullanılabilir mi?” sorusudur; ikincisi “veri kimlerin eline geçebilir ve nasıl korunur?” sorusu. İkisi de gereklidir, ancak ISO 30435 yalnızca birincisini ele alır; ikincisi için ilgili mevzuata ve bilgi güvenliği standartlarına bakılmalıdır.</w:t>
      </w:r>
    </w:p>
    <w:p>
      <w:pPr>
        <w:spacing w:after="140" w:line="288"/>
        <w:jc w:val="left"/>
      </w:pPr>
      <w:r>
        <w:rPr>
          <w:rFonts w:ascii="Calibri" w:cs="Calibri" w:eastAsia="Calibri" w:hAnsi="Calibri"/>
          <w:sz w:val="22"/>
          <w:szCs w:val="22"/>
        </w:rPr>
        <w:t xml:space="preserve">Standart bir de önemli bir alçakgönüllülük taşır: Metrik tanımlamaz. Neyin hata sayılacağını, kabul edilebilir hata oranını ve örnek hacmini kurumun kendisi belirler ve yazılı hâle getirir. Standardın verdiği değerler örnektir, zorunlu eşik değildir.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Önemli nokta</w:t>
            </w:r>
          </w:p>
        </w:tc>
        <w:tc>
          <w:tcPr>
            <w:tcW w:type="dxa" w:w="6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söyler?</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Önce hangi verinin önemli olduğu belirlenir</w:t>
            </w:r>
          </w:p>
        </w:tc>
        <w:tc>
          <w:tcPr>
            <w:tcW w:type="dxa" w:w="6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Kurumun amacı ve stratejik hedefleri için önemli veri seçilir; ulusal ve uluslararası İK standartlarına başvurulur</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Beş unsur birlikte düşünülür</w:t>
            </w:r>
          </w:p>
        </w:tc>
        <w:tc>
          <w:tcPr>
            <w:tcW w:type="dxa" w:w="6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Birine odaklanıp diğerlerini göz ardı etmek kaliteyi güvence altına almaz</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Sahiplik atanır</w:t>
            </w:r>
          </w:p>
        </w:tc>
        <w:tc>
          <w:tcPr>
            <w:tcW w:type="dxa" w:w="6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Paydaş gruplarından kişiler belirlenir; takım liderleri ve yöneticiler doğrudan raporlarının verisini yakalayabilir</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Yaşam döngüsünün her adımında yakalanır</w:t>
            </w:r>
          </w:p>
        </w:tc>
        <w:tc>
          <w:tcPr>
            <w:tcW w:type="dxa" w:w="6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Katılım, geçiş ve ayrılışta veri belgelenmiş prosedürlere göre yakalanır ve güncellenir</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Tarihsel veri odaklı temizlenir</w:t>
            </w:r>
          </w:p>
        </w:tc>
        <w:tc>
          <w:tcPr>
            <w:tcW w:type="dxa" w:w="6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Kötü raporlamanın sık nedeni tarihsel veridir; yuvarlanan üç ila beş yıl tutulur</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Gözden geçirme en az yıllıktır</w:t>
            </w:r>
          </w:p>
        </w:tc>
        <w:tc>
          <w:tcPr>
            <w:tcW w:type="dxa" w:w="6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Kalite eşiğin altına düşerse temizleme yapılır ve karşılık eylemi belgelenir</w:t>
            </w:r>
          </w:p>
        </w:tc>
      </w:tr>
    </w:tbl>
    <w:p>
      <w:pPr>
        <w:spacing w:after="140"/>
      </w:pPr>
    </w:p>
    <w:p>
      <w:pPr>
        <w:pStyle w:val="Heading2"/>
        <w:keepNext/>
        <w:spacing w:after="110" w:before="320"/>
      </w:pPr>
      <w:r>
        <w:rPr>
          <w:rFonts w:ascii="Calibri" w:cs="Calibri" w:eastAsia="Calibri" w:hAnsi="Calibri"/>
          <w:b/>
          <w:bCs/>
          <w:sz w:val="27"/>
          <w:szCs w:val="27"/>
        </w:rPr>
        <w:t xml:space="preserve">1.3.2  Veri kalitesinin beş unsuru</w:t>
      </w:r>
    </w:p>
    <w:p>
      <w:pPr>
        <w:spacing w:after="140" w:line="288"/>
        <w:jc w:val="left"/>
      </w:pPr>
      <w:r>
        <w:rPr>
          <w:rFonts w:ascii="Calibri" w:cs="Calibri" w:eastAsia="Calibri" w:hAnsi="Calibri"/>
          <w:sz w:val="22"/>
          <w:szCs w:val="22"/>
        </w:rPr>
        <w:t xml:space="preserve">Standardın dördüncü maddesi, veri kalitesini beş unsurla tanımlar: doğruluk, güncellik, tamlık, tutarlılık ve uygunluk. Her unsurun kendi hata türü ve kendi sınama yöntemi vardır; bu yüzden biri iyi olunca diğerleri de iyidir varsayımı yanlıştır.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4338"/>
        <w:gridCol w:w="3100"/>
      </w:tblGrid>
      <w:tr>
        <w:trPr>
          <w:cantSplit/>
          <w:tblHeader/>
        </w:trPr>
        <w:tc>
          <w:tcPr>
            <w:tcW w:type="dxa" w:w="1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Unsur</w:t>
            </w:r>
          </w:p>
        </w:tc>
        <w:tc>
          <w:tcPr>
            <w:tcW w:type="dxa" w:w="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Madde</w:t>
            </w:r>
          </w:p>
        </w:tc>
        <w:tc>
          <w:tcPr>
            <w:tcW w:type="dxa" w:w="4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Standart ne der?</w:t>
            </w:r>
          </w:p>
        </w:tc>
        <w:tc>
          <w:tcPr>
            <w:tcW w:type="dxa" w:w="31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Örnek sorun</w:t>
            </w:r>
          </w:p>
        </w:tc>
      </w:tr>
      <w:tr>
        <w:trPr>
          <w:cantSplit/>
        </w:trPr>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Doğruluk</w:t>
            </w:r>
          </w:p>
        </w:tc>
        <w:tc>
          <w:tcPr>
            <w:tcW w:type="dxa" w:w="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4.2</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Gereken doğruluk düzeyi önce verinin niteliğine bakılarak belirlenir ve sektör kılavuzlarıyla hizalanır; mevcut doğruluk, hedeflenen doğruluğun temelini oluşturur</w:t>
            </w:r>
          </w:p>
        </w:tc>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Maaş ya da fazla mesai verisindeki hata</w:t>
            </w:r>
          </w:p>
        </w:tc>
      </w:tr>
      <w:tr>
        <w:trPr>
          <w:cantSplit/>
        </w:trPr>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Güncellik</w:t>
            </w:r>
          </w:p>
        </w:tc>
        <w:tc>
          <w:tcPr>
            <w:tcW w:type="dxa" w:w="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4.3</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Verinin yakalanma zamanı ve karar vermeye ve raporlamaya hazır olma süresi dikkate alınır</w:t>
            </w:r>
          </w:p>
        </w:tc>
        <w:tc>
          <w:tcPr>
            <w:tcW w:type="dxa" w:w="3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Ayrılış nedeninin ayrılış anında değil aylar sonra kaydedilmesi</w:t>
            </w:r>
          </w:p>
        </w:tc>
      </w:tr>
      <w:tr>
        <w:trPr>
          <w:cantSplit/>
        </w:trPr>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Tamlık</w:t>
            </w:r>
          </w:p>
        </w:tc>
        <w:tc>
          <w:tcPr>
            <w:tcW w:type="dxa" w:w="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4.4</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Formlar kısmen doldurulduğunda sorun olur; eksiksiz veri toplama zorunlu olmalıdır</w:t>
            </w:r>
          </w:p>
        </w:tc>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Niteliklerin doğrulanmaması; performans bilgisinin kaydedilmemesi</w:t>
            </w:r>
          </w:p>
        </w:tc>
      </w:tr>
      <w:tr>
        <w:trPr>
          <w:cantSplit/>
        </w:trPr>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Tutarlılık</w:t>
            </w:r>
          </w:p>
        </w:tc>
        <w:tc>
          <w:tcPr>
            <w:tcW w:type="dxa" w:w="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4.5</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Toplama zamanı, formüller, veri noktaları ve biçimleri değişmemelidir</w:t>
            </w:r>
          </w:p>
        </w:tc>
        <w:tc>
          <w:tcPr>
            <w:tcW w:type="dxa" w:w="3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Tarih, unvan, departman adı ve çalışan numarası biçimlerinin değişmesi</w:t>
            </w:r>
          </w:p>
        </w:tc>
      </w:tr>
      <w:tr>
        <w:trPr>
          <w:cantSplit/>
        </w:trPr>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Uygunluk</w:t>
            </w:r>
          </w:p>
        </w:tc>
        <w:tc>
          <w:tcPr>
            <w:tcW w:type="dxa" w:w="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4.6</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Her veri değerli değildir; veri girdi–süreç–çıktı–sonuç çerçevesiyle gruplanır</w:t>
            </w:r>
          </w:p>
        </w:tc>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alımda: alınan özgeçmişler (girdi), mülakatlar (süreç), işe alım (çıktı), işe alımın etkisi (sonuç)</w:t>
            </w:r>
          </w:p>
        </w:tc>
      </w:tr>
    </w:tbl>
    <w:p>
      <w:pPr>
        <w:spacing w:after="140"/>
      </w:pPr>
    </w:p>
    <w:p>
      <w:pPr>
        <w:spacing w:after="140" w:line="288"/>
        <w:jc w:val="left"/>
      </w:pPr>
      <w:r>
        <w:rPr>
          <w:rFonts w:ascii="Calibri" w:cs="Calibri" w:eastAsia="Calibri" w:hAnsi="Calibri"/>
          <w:sz w:val="22"/>
          <w:szCs w:val="22"/>
        </w:rPr>
        <w:t xml:space="preserve">Güncellik örneği özellikle öğreticidir: Bağlılık verisi vardiya başında bir gruptan, vardiya sonunda başka bir gruptan toplanırsa, eğilimler toplama zamanından etkilenir; sonuç farklılığı gerçek değil, ölçüm zamanlamasının eseridir. Tutarlılık için de benzer bir uyarı vardır: Devirdeki bir “artış”, gerçekte departman adlarının yeniden biçimlendirilmesinin ya da sistem geçişinin sonucu olabilir. Uygunluk ise çoğu kurumun gözden kaçırdığı bir unsurdur: Ölçülen birçok veri ilginçtir ama ilgili değildir. Her veri noktası bir yakalama ve bakım maliyeti taşır; hiçbir karara hizmet etmeyen veriyi toplamak, kaliteli veriye ayrılabilecek kaynağı tüketir.</w:t>
      </w:r>
    </w:p>
    <w:p>
      <w:pPr>
        <w:pStyle w:val="Heading3"/>
        <w:keepNext/>
        <w:spacing w:after="80" w:before="220"/>
      </w:pPr>
      <w:r>
        <w:rPr>
          <w:rFonts w:ascii="Calibri" w:cs="Calibri" w:eastAsia="Calibri" w:hAnsi="Calibri"/>
          <w:b/>
          <w:bCs/>
          <w:color w:val="0B5C8A"/>
          <w:sz w:val="23"/>
          <w:szCs w:val="23"/>
        </w:rPr>
        <w:t xml:space="preserve">Kötü veri neye benzer? Bir örnek</w:t>
      </w:r>
    </w:p>
    <w:p>
      <w:pPr>
        <w:spacing w:after="140" w:line="288"/>
        <w:jc w:val="left"/>
      </w:pPr>
      <w:r>
        <w:rPr>
          <w:rFonts w:ascii="Calibri" w:cs="Calibri" w:eastAsia="Calibri" w:hAnsi="Calibri"/>
          <w:sz w:val="22"/>
          <w:szCs w:val="22"/>
        </w:rPr>
        <w:t xml:space="preserve">Ek C’deki yapay veri setinde, bilinçli olarak eklenmiş sorunlar vardır. 551 satırlık çalışan tablosunda 3 yinelenen sicil numarası, işe başlama tarihinden önce ayrılma tarihi taşıyan 2 kayıt, 6 boş cinsiyet ve 14 boş performans puanı bulunur. Beş unsur açısından bakıldığında yinelenen kayıtlar ve mantıksız tarihler tutarlılık sorunudur (5 kayıt tutarsız: %99,1 tutarlılık); boş alanlar tamlık sorunudur (dört zorunlu alan için 2.204 beklenen, 2.184 dolu: %99,1 tamlık). Bu oranlar yüksek görünür, ancak bunlar yalnızca tek tek ele alındığında yüksektir: Kalite hedefi (örneğin tamlık için %98) karşılanmış olsa bile, boş performans puanı olan 14 çalışan, performansa dayalı bir analizde tamamen dışarıda kalır. Veri kalitesi sorunu, genellikle oranda değil, eksik kalan kişilerin kim olduğundadır.</w:t>
      </w:r>
    </w:p>
    <w:p>
      <w:pPr>
        <w:pStyle w:val="Heading2"/>
        <w:keepNext/>
        <w:spacing w:after="110" w:before="320"/>
      </w:pPr>
      <w:r>
        <w:rPr>
          <w:rFonts w:ascii="Calibri" w:cs="Calibri" w:eastAsia="Calibri" w:hAnsi="Calibri"/>
          <w:b/>
          <w:bCs/>
          <w:sz w:val="27"/>
          <w:szCs w:val="27"/>
        </w:rPr>
        <w:t xml:space="preserve">1.3.3  İşgücü yaşam döngüsü çerçevesi</w:t>
      </w:r>
    </w:p>
    <w:p>
      <w:pPr>
        <w:spacing w:after="140" w:line="288"/>
        <w:jc w:val="left"/>
      </w:pPr>
      <w:r>
        <w:rPr>
          <w:rFonts w:ascii="Calibri" w:cs="Calibri" w:eastAsia="Calibri" w:hAnsi="Calibri"/>
          <w:sz w:val="22"/>
          <w:szCs w:val="22"/>
        </w:rPr>
        <w:t xml:space="preserve">Hangi verinin önemli olduğunu belirlemek için standart, işgücü yaşam döngüsü çerçevesini kullanır (madde 5). Çerçeve, kurumun işgücü yönetimiyle ilgili gördüğü ve yürüttüğü tüm faaliyetlerin tablosudur; sektöre özgü olabilir ya da her kurum için ayrı geliştirilebilir. Yüksek düzeyde planla–uygula–kontrol et–önlem al (PDCA) mantığını izler.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438"/>
      </w:tblGrid>
      <w:tr>
        <w:trPr>
          <w:cantSplit/>
          <w:tblHeader/>
        </w:trPr>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Faz</w:t>
            </w:r>
          </w:p>
        </w:tc>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Aşama</w:t>
            </w:r>
          </w:p>
        </w:tc>
        <w:tc>
          <w:tcPr>
            <w:tcW w:type="dxa" w:w="5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Örnek faaliyetler</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Planla</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Gereksinimleri tanımla</w:t>
            </w:r>
          </w:p>
        </w:tc>
        <w:tc>
          <w:tcPr>
            <w:tcW w:type="dxa" w:w="5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Kurumsal hedefler, değerler, örgüt tasarımı, gereken işlev ve rolleri tanımlamak</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Planla</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Stratejileştir ve planla</w:t>
            </w:r>
          </w:p>
        </w:tc>
        <w:tc>
          <w:tcPr>
            <w:tcW w:type="dxa" w:w="5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 planlaması; çeşitlilik ve kapsayıcılık; sürdürülebilir istihdam edilebilirlik; işgücü tasarımı</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Uygula</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Pekiştir veya edin</w:t>
            </w:r>
          </w:p>
        </w:tc>
        <w:tc>
          <w:tcPr>
            <w:tcW w:type="dxa" w:w="5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alım</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Uygula</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Geliştir</w:t>
            </w:r>
          </w:p>
        </w:tc>
        <w:tc>
          <w:tcPr>
            <w:tcW w:type="dxa" w:w="5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Kapasite çerçevesi; pozisyon tanımları; kritik rol yönetimi; zorunlu eğitim; öğrenme ve gelişim; performans yönetimi; yedekleme planlaması</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Uygula</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Yönet</w:t>
            </w:r>
          </w:p>
        </w:tc>
        <w:tc>
          <w:tcPr>
            <w:tcW w:type="dxa" w:w="5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Ödül ve takdir; bordro; yasal gereklilikler; iş sağlığı ve güvenliği; disiplin yönetimi; çalışan ilişkileri; işgücü tahsisi; geçiş; bilgi yönetimi</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Kontrol et</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Analiz et / Raporla</w:t>
            </w:r>
          </w:p>
        </w:tc>
        <w:tc>
          <w:tcPr>
            <w:tcW w:type="dxa" w:w="5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 faaliyet ve kök neden analitiği; yasal, idari ve işgücü raporlaması</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Önlem al</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Değerlendir / Önceliklendir</w:t>
            </w:r>
          </w:p>
        </w:tc>
        <w:tc>
          <w:tcPr>
            <w:tcW w:type="dxa" w:w="5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Veri sözlüğü; işgücü veri kalitesi</w:t>
            </w:r>
          </w:p>
        </w:tc>
      </w:tr>
    </w:tbl>
    <w:p>
      <w:pPr>
        <w:spacing w:after="140"/>
      </w:pPr>
    </w:p>
    <w:p>
      <w:pPr>
        <w:spacing w:after="140" w:line="288"/>
        <w:jc w:val="left"/>
      </w:pPr>
      <w:r>
        <w:rPr>
          <w:rFonts w:ascii="Calibri" w:cs="Calibri" w:eastAsia="Calibri" w:hAnsi="Calibri"/>
          <w:sz w:val="22"/>
          <w:szCs w:val="22"/>
        </w:rPr>
        <w:t xml:space="preserve">Çerçevenin değeri, “hangi veriyi yakalamalıyım?” sorusunu yönetilebilir bir soruya dönüştürmesindedir. Bir faaliyetin yüksek düzeyden alt işlevlerine inildikçe, hangi anahtar ölçü ve veri noktasının işgücü yönetimini etkilediği daha net anlaşılır. Örneğin devir, gönüllü, istemsiz ve kritik pozisyon devri olarak bölünebilir; her biri ayrı bir veri noktası gerektirir. Çerçevenin içeriği sektöre göre değişir: Bazı kurumlar mezun yönetimi yapmaz ya da tedarikçi yönetimine ihtiyaç duymaz; bazıları işe alımı hacim nedeniyle alt kümelere böler. Her kurum neyin ilgili olduğuna kendisi karar verir, ama standart, sektörler ve büyüklükler arasındaki benzerliklerin genellikle farklardan fazla olduğunu hatırlatır.</w:t>
      </w:r>
    </w:p>
    <w:p>
      <w:pPr>
        <w:pStyle w:val="Heading3"/>
        <w:keepNext/>
        <w:spacing w:after="80" w:before="220"/>
      </w:pPr>
      <w:r>
        <w:rPr>
          <w:rFonts w:ascii="Calibri" w:cs="Calibri" w:eastAsia="Calibri" w:hAnsi="Calibri"/>
          <w:b/>
          <w:bCs/>
          <w:color w:val="0B5C8A"/>
          <w:sz w:val="23"/>
          <w:szCs w:val="23"/>
        </w:rPr>
        <w:t xml:space="preserve">Anahtar işgücü verisi (Tablo 3)</w:t>
      </w:r>
    </w:p>
    <w:p>
      <w:pPr>
        <w:spacing w:after="140" w:line="288"/>
        <w:jc w:val="left"/>
      </w:pPr>
      <w:r>
        <w:rPr>
          <w:rFonts w:ascii="Calibri" w:cs="Calibri" w:eastAsia="Calibri" w:hAnsi="Calibri"/>
          <w:sz w:val="22"/>
          <w:szCs w:val="22"/>
        </w:rPr>
        <w:t xml:space="preserve">Standart, yaşam döngüsü boyunca yakalanacak anahtar veri noktalarının bir örneğini sunar (Tablo 3); anahtar işgücü verisini her kurum kendisi tanımlar. Örnek küme şu gruplardan oluşur: kişisel bilgi (ad, adres, doğum tarihi, nitelikler, belge yenileme tarihleri); pozisyon bilgisi (unvan, bağlı olduğu kişi, kritik pozisyon e/h, zorunlu gereksinimler); organizasyon şeması; öğrenme ve gelişim kayıtları; işgücü işe alımı (maliyet, doldurma süresi, kalite, etki); uyum süreci (tam verimliliğe ulaşma süresi); İK veri sözlüğü; İK veri analitiği (özellikle FTE ve kadro); İK ana veri seti; maaş verisi; performans derecelendirmeleri; vize bilgisi (çalışma hakkı); fazla mesai durumu; prim ödemeleri; zorunlu yetki belgeleri; anket verisi; iş sağlığı ve güvenliği verisi (kazalar ve ramak kalalar).</w:t>
      </w:r>
    </w:p>
    <w:p>
      <w:pPr>
        <w:pStyle w:val="Heading2"/>
        <w:keepNext/>
        <w:spacing w:after="110" w:before="320"/>
      </w:pPr>
      <w:r>
        <w:rPr>
          <w:rFonts w:ascii="Calibri" w:cs="Calibri" w:eastAsia="Calibri" w:hAnsi="Calibri"/>
          <w:b/>
          <w:bCs/>
          <w:sz w:val="27"/>
          <w:szCs w:val="27"/>
        </w:rPr>
        <w:t xml:space="preserve">1.3.4  Yakalama, bakım ve sahiplik</w:t>
      </w:r>
    </w:p>
    <w:p>
      <w:pPr>
        <w:spacing w:after="140" w:line="288"/>
        <w:jc w:val="left"/>
      </w:pPr>
      <w:r>
        <w:rPr>
          <w:rFonts w:ascii="Calibri" w:cs="Calibri" w:eastAsia="Calibri" w:hAnsi="Calibri"/>
          <w:sz w:val="22"/>
          <w:szCs w:val="22"/>
        </w:rPr>
        <w:t xml:space="preserve">Veri kalitesi, bir kez yapılan bir temizlik değil, sürekli bir davranıştır. Standart bunu dört ilkeyle tanımlar (madde 6.1 ve 6.2). İlk ilke sahiplik: İşgücü verisinin sahipliği, kilit paydaş gruplarından kişiler belirlenip sorumluluklar atanarak kurulur. Veri yakalama ve bakım sorumluluğu, kurumun hiyerarşik yapısıyla hizalanabilir; takım liderleri, yöneticiler ve üst yöneticiler, çalışan ve yükleniciler dahil doğrudan raporlarının verisini yakalayıp bakımını yapabilir. Standart, veri kalitesinin bireysel performans yönetimi görüşmelerine bir ölçüm olarak eklenebileceğini de belirtir; böylece veri, yalnızca İK’nın değil, her yöneticinin sorumluluğu hâline gelir.</w:t>
      </w:r>
    </w:p>
    <w:p>
      <w:pPr>
        <w:spacing w:after="140" w:line="288"/>
        <w:jc w:val="left"/>
      </w:pPr>
      <w:r>
        <w:rPr>
          <w:rFonts w:ascii="Calibri" w:cs="Calibri" w:eastAsia="Calibri" w:hAnsi="Calibri"/>
          <w:sz w:val="22"/>
          <w:szCs w:val="22"/>
        </w:rPr>
        <w:t xml:space="preserve">İkinci ilke belgelemedir. Kurumun işgücü veri gereksinimleri belirlenir, yakalama ve bakım sorumluluğu belgelenir; belgelemede ilk giriş prosedürleri, sürekli güncelleme ve işgücü verisinin bakımı yer alır. Prosedürlerin gözden geçirilmesi için bir takvim geliştirilir ve ilgili paydaşlar sorumlulukları konusunda yetkin olmalıdır. Üçüncü ilke şablondur: Tanımlı veri gereksinimlerine dayanan kapsamlı bir şablon geliştirilir; küçük kurumlar elektronik tablo, büyük kurumlar uygun yerlerde daha karmaşık teknoloji tabanlı çözümler kullanabilir. Dördüncü ilke yaşam döngüsüdür: Çalışanlar kuruma katıldığında, kurum içinde geçiş yaptığında ya da ayrıldığında ilgili veri belgelenmiş prosedürlere göre yakalanır ve güncellenir; her çalışan için eksiksiz bir veri seti belirlenir.</w:t>
      </w:r>
    </w:p>
    <w:p>
      <w:pPr>
        <w:pStyle w:val="Heading2"/>
        <w:keepNext/>
        <w:spacing w:after="110" w:before="320"/>
      </w:pPr>
      <w:r>
        <w:rPr>
          <w:rFonts w:ascii="Calibri" w:cs="Calibri" w:eastAsia="Calibri" w:hAnsi="Calibri"/>
          <w:b/>
          <w:bCs/>
          <w:sz w:val="27"/>
          <w:szCs w:val="27"/>
        </w:rPr>
        <w:t xml:space="preserve">1.3.5  Tarihsel veri temizliği</w:t>
      </w:r>
    </w:p>
    <w:p>
      <w:pPr>
        <w:spacing w:after="140" w:line="288"/>
        <w:jc w:val="left"/>
      </w:pPr>
      <w:r>
        <w:rPr>
          <w:rFonts w:ascii="Calibri" w:cs="Calibri" w:eastAsia="Calibri" w:hAnsi="Calibri"/>
          <w:sz w:val="22"/>
          <w:szCs w:val="22"/>
        </w:rPr>
        <w:t xml:space="preserve">Standardın altıncı maddesinin üçüncü bölümü (6.3), tarihsel veriyi ele alır ve kötü kaliteli işgücü raporlamasının sık nedeninin tarihsel veri olduğunu vurgular. Doğru tarihsel verinin değeri; tarihsel raporlama, eğilim analizi, kök neden analizi, mezun yönetimi, işveren markası konumlandırması, proaktif işgücü yönetimi, çatışma çözümünde destek ve işgücü ile müzakere gibi alanlarda ortaya çıkar. Ancak tarihsel veriye bağımlılık sektöre ve kuruma özgüdür: Çok değişken bir işgücüne sahip bir kurum altı aydan eski veriyi değersiz sayabilir; bir başkası beş yıllık veriyi hâlâ yararlı bulabilir.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Konu</w:t>
            </w:r>
          </w:p>
        </w:tc>
        <w:tc>
          <w:tcPr>
            <w:tcW w:type="dxa" w:w="7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Standardın önerisi</w:t>
            </w:r>
          </w:p>
        </w:tc>
      </w:tr>
      <w:tr>
        <w:trPr>
          <w:cantSplit/>
        </w:trPr>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Zaman çerçevesi</w:t>
            </w:r>
          </w:p>
        </w:tc>
        <w:tc>
          <w:tcPr>
            <w:tcW w:type="dxa" w:w="7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Yuvarlanan üç ila beş yıllık bir geçmiş tutulur; ilk temizlik tamamlandıktan sonra bakım prosedürleri sürekli kaliteyi güvence altına alır</w:t>
            </w:r>
          </w:p>
        </w:tc>
      </w:tr>
      <w:tr>
        <w:trPr>
          <w:cantSplit/>
        </w:trPr>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Etkili teknikler</w:t>
            </w:r>
          </w:p>
        </w:tc>
        <w:tc>
          <w:tcPr>
            <w:tcW w:type="dxa" w:w="7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Yinelenenleri kaldırmak, ilgisiz veriyi kaldırmak, büyük/küçük harf kullanımını standartlaştırmak, veri türlerini dönüştürmek, biçimlendirmeyi temizlemek, hataları düzeltmek, eksik değerleri ele almak</w:t>
            </w:r>
          </w:p>
        </w:tc>
      </w:tr>
      <w:tr>
        <w:trPr>
          <w:cantSplit/>
        </w:trPr>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Kapsam ölçütleri</w:t>
            </w:r>
          </w:p>
        </w:tc>
        <w:tc>
          <w:tcPr>
            <w:tcW w:type="dxa" w:w="7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Verinin güncel işgücüyle ve güncel kritik pozisyonlarla ilgisi, mevcut veri kalitesi, temizleme kolaylığı ve tahmini maliyeti, beklenen faydalar</w:t>
            </w:r>
          </w:p>
        </w:tc>
      </w:tr>
      <w:tr>
        <w:trPr>
          <w:cantSplit/>
        </w:trPr>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Asgari kapsam</w:t>
            </w:r>
          </w:p>
        </w:tc>
        <w:tc>
          <w:tcPr>
            <w:tcW w:type="dxa" w:w="7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Güncel işgücüne ve güncel kritik pozisyon, kritik beceri ve kapasitelere ilişkin tarihsel veri</w:t>
            </w:r>
          </w:p>
        </w:tc>
      </w:tr>
      <w:tr>
        <w:trPr>
          <w:cantSplit/>
        </w:trPr>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Proje ekibi</w:t>
            </w:r>
          </w:p>
        </w:tc>
        <w:tc>
          <w:tcPr>
            <w:tcW w:type="dxa" w:w="7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İK, bordro, çalışan temsilcileri, BT, raporlama ve üst yönetim; uygun olduğunda iç ve dış denetçiler</w:t>
            </w:r>
          </w:p>
        </w:tc>
      </w:tr>
    </w:tbl>
    <w:p>
      <w:pPr>
        <w:spacing w:after="140"/>
      </w:pPr>
    </w:p>
    <w:p>
      <w:pPr>
        <w:spacing w:after="140" w:line="288"/>
        <w:jc w:val="left"/>
      </w:pPr>
      <w:r>
        <w:rPr>
          <w:rFonts w:ascii="Calibri" w:cs="Calibri" w:eastAsia="Calibri" w:hAnsi="Calibri"/>
          <w:sz w:val="22"/>
          <w:szCs w:val="22"/>
        </w:rPr>
        <w:t xml:space="preserve">Temizliğin maliyeti, rehber sayfasında bir büyüklük mertebesi olarak hesaplanabilir: Maliyet = kayıt sayısı × hata yüzdesi ÷ 100 × kayıt başına dakika ÷ 60 × saat ücreti. Örneğin 12.000 kayıtlık bir tarihsel tabloda hata oranı %5, kayıt başına düzeltme süresi 3 dakika ve saat ücreti 450 TL ise 600 hatalı kayıt, 1.800 dakika, yani 30 saat sürer ve maliyet 13.500 TL olur. Bu hesap kesin bir bütçe değil, “temizlik projesini başlatmaya değer mi?” sorusuna ilk yanıttır; dakika başına kayıt ve saat ücreti kurum varsayımıdır.</w:t>
      </w:r>
    </w:p>
    <w:p>
      <w:pPr>
        <w:pStyle w:val="Heading2"/>
        <w:keepNext/>
        <w:spacing w:after="110" w:before="320"/>
      </w:pPr>
      <w:r>
        <w:rPr>
          <w:rFonts w:ascii="Calibri" w:cs="Calibri" w:eastAsia="Calibri" w:hAnsi="Calibri"/>
          <w:b/>
          <w:bCs/>
          <w:sz w:val="27"/>
          <w:szCs w:val="27"/>
        </w:rPr>
        <w:t xml:space="preserve">1.3.6  Veri bütünlüğü gözden geçirme süreci</w:t>
      </w:r>
    </w:p>
    <w:p>
      <w:pPr>
        <w:spacing w:after="140" w:line="288"/>
        <w:jc w:val="left"/>
      </w:pPr>
      <w:r>
        <w:rPr>
          <w:rFonts w:ascii="Calibri" w:cs="Calibri" w:eastAsia="Calibri" w:hAnsi="Calibri"/>
          <w:sz w:val="22"/>
          <w:szCs w:val="22"/>
        </w:rPr>
        <w:t xml:space="preserve">Standardın yedinci maddesi, veri kalitesinin sistematik olarak gözden geçirilmesini üç parçada tanımlar: veri kalitesi süreç gözden geçirme raporu, yönetim güvencesi ve zaman çerçevelerinin belirlenmesi. Gözden geçirme raporu (7.2), işgücü veri kalitesi gözden geçirme sürecinin değerlendirmesini içerir ve en az yıllık ya da kullanıcının tanımladığı sıklıkta yapılır. Yönetim güvencesi (7.3), rutin raporlama mekanizmaları ve karşılık eylem sonuçlarının kanıtıyla sağlanır; veri kalitesinin ölçümü ve analizi, sürekli iyileştirme ve net hesap verebilirlik bu güvencenin gereklilikleridir. Bu raporlar denetim incelemesi, testi ve doğrulaması için erişilebilir olmalıdır; kritik stratejiler ve daha büyük riskler daha fazla denetim dikkati çeker.</w:t>
      </w:r>
    </w:p>
    <w:p>
      <w:pPr>
        <w:spacing w:after="140" w:line="288"/>
        <w:jc w:val="left"/>
      </w:pPr>
      <w:r>
        <w:rPr>
          <w:rFonts w:ascii="Calibri" w:cs="Calibri" w:eastAsia="Calibri" w:hAnsi="Calibri"/>
          <w:sz w:val="22"/>
          <w:szCs w:val="22"/>
        </w:rPr>
        <w:t xml:space="preserve">Zaman çerçeveleri (7.4) veri grubunun niteliğine göre değişir: Gözden geçirme en az yıllıktır; daha fazla güvence gerekiyorsa daha sık yapılır. Zorunlu belgeler, yetki belgeleri ve vizeler gibi veriler için güvence gereksinimi daha sıkıdır ve bazı durumlarda veri kalitesi mutlak olmalıdır; standart bir hekimin yeterlilik belgesini, uzun yol kamyon sürücülüğü belgesini ve çocuklarla çalışma kontrollerini örnek verir. Veri kalitesi kullanıcı tanımlı tolerans düzeylerinin altına düştüğünde bir temizleme operasyonu yapılır ve karşılık eylemi sorumlu kişiye ya da ekibe belgelenir.</w:t>
      </w:r>
    </w:p>
    <w:p>
      <w:pPr>
        <w:pStyle w:val="Heading3"/>
        <w:keepNext/>
        <w:spacing w:after="80" w:before="220"/>
      </w:pPr>
      <w:r>
        <w:rPr>
          <w:rFonts w:ascii="Calibri" w:cs="Calibri" w:eastAsia="Calibri" w:hAnsi="Calibri"/>
          <w:b/>
          <w:bCs/>
          <w:color w:val="0B5C8A"/>
          <w:sz w:val="23"/>
          <w:szCs w:val="23"/>
        </w:rPr>
        <w:t xml:space="preserve">Tablo 4: gözden geçirme sıklığı, örnek hacmi ve düzey</w:t>
      </w:r>
    </w:p>
    <w:p>
      <w:pPr>
        <w:spacing w:after="140" w:line="288"/>
        <w:jc w:val="left"/>
      </w:pPr>
      <w:r>
        <w:rPr>
          <w:rFonts w:ascii="Calibri" w:cs="Calibri" w:eastAsia="Calibri" w:hAnsi="Calibri"/>
          <w:sz w:val="22"/>
          <w:szCs w:val="22"/>
        </w:rPr>
        <w:t xml:space="preserve">Standart, gözden geçirme için bir örnek tablo (Tablo 4) sunar. Aşağıdaki değerler standardın örneğidir, zorunlu eşik değildir; “asgari” ifadesi gerektiğinde daha sık gözden geçirme yapılabileceği anlamına gelir.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2338"/>
        <w:gridCol w:w="1800"/>
      </w:tblGrid>
      <w:tr>
        <w:trPr>
          <w:cantSplit/>
          <w:tblHeader/>
        </w:trPr>
        <w:tc>
          <w:tcPr>
            <w:tcW w:type="dxa" w:w="3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Anahtar veri noktası</w:t>
            </w:r>
          </w:p>
        </w:tc>
        <w:tc>
          <w:tcPr>
            <w:tcW w:type="dxa" w:w="2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Gözden geçirme sıklığı (asgari)</w:t>
            </w:r>
          </w:p>
        </w:tc>
        <w:tc>
          <w:tcPr>
            <w:tcW w:type="dxa" w:w="2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Örnek hacmi</w:t>
            </w:r>
          </w:p>
        </w:tc>
        <w:tc>
          <w:tcPr>
            <w:tcW w:type="dxa" w:w="1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Doğruluk düzeyi</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Kişisel bilgi</w:t>
            </w:r>
          </w:p>
        </w:tc>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Yılda en az bir</w:t>
            </w:r>
          </w:p>
        </w:tc>
        <w:tc>
          <w:tcPr>
            <w:tcW w:type="dxa" w:w="2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%1–5 (ilk sonuçlara göre)</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%96–100</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Pozisyon bilgisi (kritik pozisyon dahil)</w:t>
            </w:r>
          </w:p>
        </w:tc>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Yılda en az bir</w:t>
            </w:r>
          </w:p>
        </w:tc>
        <w:tc>
          <w:tcPr>
            <w:tcW w:type="dxa" w:w="2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%1–5</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%95</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Organizasyon şeması</w:t>
            </w:r>
          </w:p>
        </w:tc>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Yılda iki ila dört</w:t>
            </w:r>
          </w:p>
        </w:tc>
        <w:tc>
          <w:tcPr>
            <w:tcW w:type="dxa" w:w="2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%95</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Öğrenme ve gelişim kayıtları</w:t>
            </w:r>
          </w:p>
        </w:tc>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Yılda en az bir</w:t>
            </w:r>
          </w:p>
        </w:tc>
        <w:tc>
          <w:tcPr>
            <w:tcW w:type="dxa" w:w="2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%3–5</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%95</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Personel işe alım</w:t>
            </w:r>
          </w:p>
        </w:tc>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Yılda en az bir</w:t>
            </w:r>
          </w:p>
        </w:tc>
        <w:tc>
          <w:tcPr>
            <w:tcW w:type="dxa" w:w="2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%3–5</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%95</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Uyum (onboarding)</w:t>
            </w:r>
          </w:p>
        </w:tc>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Yılda iki ila dört</w:t>
            </w:r>
          </w:p>
        </w:tc>
        <w:tc>
          <w:tcPr>
            <w:tcW w:type="dxa" w:w="2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%98</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İK veri sözlüğü</w:t>
            </w:r>
          </w:p>
        </w:tc>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Yılda en az bir</w:t>
            </w:r>
          </w:p>
        </w:tc>
        <w:tc>
          <w:tcPr>
            <w:tcW w:type="dxa" w:w="2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%3–5</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%95</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İK analitiği (özellikle FTE, kadro)</w:t>
            </w:r>
          </w:p>
        </w:tc>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Yılda iki ila dört</w:t>
            </w:r>
          </w:p>
        </w:tc>
        <w:tc>
          <w:tcPr>
            <w:tcW w:type="dxa" w:w="2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%98</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İK ana veri seti (kullanıcı tanımlı)</w:t>
            </w:r>
          </w:p>
        </w:tc>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Yılda en az bir</w:t>
            </w:r>
          </w:p>
        </w:tc>
        <w:tc>
          <w:tcPr>
            <w:tcW w:type="dxa" w:w="2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%3–5</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%95</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İK maaş verisi</w:t>
            </w:r>
          </w:p>
        </w:tc>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Yılda iki ila dört</w:t>
            </w:r>
          </w:p>
        </w:tc>
        <w:tc>
          <w:tcPr>
            <w:tcW w:type="dxa" w:w="2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%99–100</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 performans derecelendirmeleri</w:t>
            </w:r>
          </w:p>
        </w:tc>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Yılda en az bir</w:t>
            </w:r>
          </w:p>
        </w:tc>
        <w:tc>
          <w:tcPr>
            <w:tcW w:type="dxa" w:w="2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%99</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Vize bilgisi (çalışma hakkı)</w:t>
            </w:r>
          </w:p>
        </w:tc>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Bitişten önce (örn. 2 ay)</w:t>
            </w:r>
          </w:p>
        </w:tc>
        <w:tc>
          <w:tcPr>
            <w:tcW w:type="dxa" w:w="2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Tüm bitiş tarihlerinin teyidi</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Fazla mesai durumu (muaf)</w:t>
            </w:r>
          </w:p>
        </w:tc>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Yılda en az bir</w:t>
            </w:r>
          </w:p>
        </w:tc>
        <w:tc>
          <w:tcPr>
            <w:tcW w:type="dxa" w:w="2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Prim ödemeleri</w:t>
            </w:r>
          </w:p>
        </w:tc>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Yılda en az bir</w:t>
            </w:r>
          </w:p>
        </w:tc>
        <w:tc>
          <w:tcPr>
            <w:tcW w:type="dxa" w:w="2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Zorunlu yetki belgeleri</w:t>
            </w:r>
          </w:p>
        </w:tc>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Yılda en az bir</w:t>
            </w:r>
          </w:p>
        </w:tc>
        <w:tc>
          <w:tcPr>
            <w:tcW w:type="dxa" w:w="2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Anket verisi</w:t>
            </w:r>
          </w:p>
        </w:tc>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Yılda en az bir</w:t>
            </w:r>
          </w:p>
        </w:tc>
        <w:tc>
          <w:tcPr>
            <w:tcW w:type="dxa" w:w="2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%95</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 sağlığı ve güvenliği verisi</w:t>
            </w:r>
          </w:p>
        </w:tc>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Yılda en az bir</w:t>
            </w:r>
          </w:p>
        </w:tc>
        <w:tc>
          <w:tcPr>
            <w:tcW w:type="dxa" w:w="2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w:t>
            </w:r>
          </w:p>
        </w:tc>
      </w:tr>
    </w:tbl>
    <w:p>
      <w:pPr>
        <w:spacing w:after="140"/>
      </w:pPr>
    </w:p>
    <w:p>
      <w:pPr>
        <w:spacing w:after="140" w:line="288"/>
        <w:jc w:val="left"/>
      </w:pPr>
      <w:r>
        <w:rPr>
          <w:rFonts w:ascii="Calibri" w:cs="Calibri" w:eastAsia="Calibri" w:hAnsi="Calibri"/>
          <w:sz w:val="22"/>
          <w:szCs w:val="22"/>
        </w:rPr>
        <w:t xml:space="preserve">Tablonun mantığı, riske göre kademelendirmedir: Hatanın bedeli yüksek olan veriler (maaş, vize, yetki belgesi, prim, İSG) yüksek doğruluk düzeyi ve sık gözden geçirme ister; bedeli düşük olanlar (anket verisi, öğrenme kayıtları) daha esnek bir düzeyle yetinir. Kendi tablonuzu kurarken bu mantığı izleyin: Her veri grubunun “yanlış olursa ne olur?” sorusuna yanıt verin ve toleransı buna göre belirleyin.</w:t>
      </w:r>
    </w:p>
    <w:p>
      <w:pPr>
        <w:pStyle w:val="Heading2"/>
        <w:keepNext/>
        <w:spacing w:after="110" w:before="320"/>
      </w:pPr>
      <w:r>
        <w:rPr>
          <w:rFonts w:ascii="Calibri" w:cs="Calibri" w:eastAsia="Calibri" w:hAnsi="Calibri"/>
          <w:b/>
          <w:bCs/>
          <w:sz w:val="27"/>
          <w:szCs w:val="27"/>
        </w:rPr>
        <w:t xml:space="preserve">1.3.7  Hesaplama: beş unsuru sayıya dökmek</w:t>
      </w:r>
    </w:p>
    <w:p>
      <w:pPr>
        <w:spacing w:after="140" w:line="288"/>
        <w:jc w:val="left"/>
      </w:pPr>
      <w:r>
        <w:rPr>
          <w:rFonts w:ascii="Calibri" w:cs="Calibri" w:eastAsia="Calibri" w:hAnsi="Calibri"/>
          <w:sz w:val="22"/>
          <w:szCs w:val="22"/>
        </w:rPr>
        <w:t xml:space="preserve">Standart formül vermez; beş unsuru ve Tablo 4’ü sunar. Rehber sayfası, bu unsurların yaygın uygulama tanımlarını bir hesaplayıcıya ve Python modülüne (iso30435_metrikler.py) dönüştürür. Kurumunuzun yazılı tanımı bunlardan farklıysa onu kullanın.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938"/>
        <w:gridCol w:w="3200"/>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39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Formül</w:t>
            </w:r>
          </w:p>
        </w:tc>
        <w:tc>
          <w:tcPr>
            <w:tcW w:type="dxa" w:w="3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Not</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Doğruluk oranı</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(1 − hatalı kayıt ÷ örneklenen kayıt) × 100</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Örnekteki hatasız kayıt payı; gerekli düzeyle karşılaştırılır</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Gereken örnek hacmi</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 toplam kayıt × örnek yüzdesi ÷ 100 ⌉</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Tablo 4’teki asgari yüzdeye göre; aralık verilen satırlarda alt sınır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Zorunlu alan tamlığı</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(dolu zorunlu alan ÷ beklenen zorunlu alan) × 100</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Kısmen doldurulmuş formlar tamlık sorunudur</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Güncellik</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(hedef süre içinde kaydedilen olay ÷ toplam olay) × 100</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Ortalama gecikme (gün) ayrıca izlenir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Tutarlılık</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(1 − tutarsız kayıt ÷ karşılaştırılan kayıt) × 100</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Sistemler ve dönemler arası</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Uygunluk</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(amaca hizmet eden veri noktası ÷ toplanan veri noktası) × 100</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İlgisiz veri, yakalama maliyetidir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Belge teyit oranı</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(bitiş tarihi teyitli kayıt ÷ toplam belge kaydı) × 100</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Zorunlu belge, yetki ve vizede hedef %100</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Boyut skor kartı (en zayıf halka)</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min(doğruluk, güncellik, tamlık, tutarlılık, uygunluk)</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Standartta yoktur; yalnızca özet için türetilmiştir</w:t>
            </w:r>
          </w:p>
        </w:tc>
      </w:tr>
    </w:tbl>
    <w:p>
      <w:pPr>
        <w:spacing w:after="140"/>
      </w:pPr>
    </w:p>
    <w:p>
      <w:pPr>
        <w:spacing w:after="140" w:line="288"/>
        <w:jc w:val="left"/>
      </w:pPr>
      <w:r>
        <w:rPr>
          <w:rFonts w:ascii="Calibri" w:cs="Calibri" w:eastAsia="Calibri" w:hAnsi="Calibri"/>
          <w:sz w:val="22"/>
          <w:szCs w:val="22"/>
        </w:rPr>
        <w:t xml:space="preserve">Örnekleme hesabı, uygulamada en çok sorulan konudur. Bir veri grubunda 4.200 kayıt varsa ve Tablo 4’teki %3–5 aralığından %4 seçilmişse gözden geçirilecek asgari örnek ⌈4.200 × 4 ÷ 100⌉ = 168 kayıttır. Bu örnekte 6 hatalı kayıt bulunursa doğruluk (1 − 6 ÷ 168) × 100 = %96,4’tür. Gerekli düzey %95 ise eşik karşılanmıştır; %99 ise karşılanmamıştır ve temizleme ile karşılık eylemi gerekir. Aynı doğruluk, iki farklı veri grubu için iki farklı sonuç doğurabilir: Önemli olan sayı değil, gerekli düzeyle karşılaştırmadır.</w:t>
      </w:r>
    </w:p>
    <w:p>
      <w:pPr>
        <w:spacing w:after="140" w:line="288"/>
        <w:jc w:val="left"/>
      </w:pPr>
      <w:r>
        <w:rPr>
          <w:rFonts w:ascii="Calibri" w:cs="Calibri" w:eastAsia="Calibri" w:hAnsi="Calibri"/>
          <w:sz w:val="22"/>
          <w:szCs w:val="22"/>
        </w:rPr>
        <w:t xml:space="preserve">Örneklemde hata bulunmaması da “veri kusursuz” demek değildir. Rehber sayfası bunun için kaba bir yaklaşım kullanır: Hatasız bir örnekte, %95 güvenle gerçek hata oranının üst sınırı yaklaşık 3 ÷ n’dir. Yani 100 kayıtlık hatasız bir örnek, gerçek hata oranının %3’e kadar çıkabileceğini bile dışlamaz. Bu hesap standartta yoktur ve küçük örneklerde güvenilirliği düşüktür; ama sezgiyi doğrudur: Yüksek gerekli düzeyli gruplarda (%99–100) örneği büyütmek gerekir.</w:t>
      </w:r>
    </w:p>
    <w:p>
      <w:pPr>
        <w:pStyle w:val="Heading2"/>
        <w:keepNext/>
        <w:spacing w:after="110" w:before="320"/>
      </w:pPr>
      <w:r>
        <w:rPr>
          <w:rFonts w:ascii="Calibri" w:cs="Calibri" w:eastAsia="Calibri" w:hAnsi="Calibri"/>
          <w:b/>
          <w:bCs/>
          <w:sz w:val="27"/>
          <w:szCs w:val="27"/>
        </w:rPr>
        <w:t xml:space="preserve">1.3.8  Yorum ve sınırlamalar</w:t>
      </w:r>
    </w:p>
    <w:p>
      <w:pPr>
        <w:pStyle w:val="ListParagraph"/>
        <w:numPr>
          <w:ilvl w:val="0"/>
          <w:numId w:val="2"/>
        </w:numPr>
        <w:spacing w:after="80" w:line="280"/>
      </w:pPr>
      <w:r>
        <w:rPr>
          <w:rFonts w:ascii="Calibri" w:cs="Calibri" w:eastAsia="Calibri" w:hAnsi="Calibri"/>
          <w:b/>
          <w:bCs/>
          <w:sz w:val="22"/>
          <w:szCs w:val="22"/>
        </w:rPr>
        <w:t xml:space="preserve">Genel doğruluk yüksek ama bazı gruplar eşiğin altındaysa ortalama yanıltır.</w:t>
      </w:r>
      <w:r>
        <w:rPr>
          <w:rFonts w:ascii="Calibri" w:cs="Calibri" w:eastAsia="Calibri" w:hAnsi="Calibri"/>
          <w:sz w:val="22"/>
          <w:szCs w:val="22"/>
        </w:rPr>
        <w:t xml:space="preserve"> Gerekli düzey her veri grubu için ayrı belirlenir; gruplar tek tek değerlendirilir.</w:t>
      </w:r>
    </w:p>
    <w:p>
      <w:pPr>
        <w:pStyle w:val="ListParagraph"/>
        <w:numPr>
          <w:ilvl w:val="0"/>
          <w:numId w:val="2"/>
        </w:numPr>
        <w:spacing w:after="80" w:line="280"/>
      </w:pPr>
      <w:r>
        <w:rPr>
          <w:rFonts w:ascii="Calibri" w:cs="Calibri" w:eastAsia="Calibri" w:hAnsi="Calibri"/>
          <w:b/>
          <w:bCs/>
          <w:sz w:val="22"/>
          <w:szCs w:val="22"/>
        </w:rPr>
        <w:t xml:space="preserve">Doğruluk iyi ama tamlık düşükse</w:t>
      </w:r>
      <w:r>
        <w:rPr>
          <w:rFonts w:ascii="Calibri" w:cs="Calibri" w:eastAsia="Calibri" w:hAnsi="Calibri"/>
          <w:sz w:val="22"/>
          <w:szCs w:val="22"/>
        </w:rPr>
        <w:t xml:space="preserve"> eldeki kayıtlar doğru, fakat kayıtların bir kısmı eksiktir. Tamlık zorunlu hâle getirilmeli ve bilgiyi veren kişilerin doğrulama sorumluluğu netleştirilmelidir.</w:t>
      </w:r>
    </w:p>
    <w:p>
      <w:pPr>
        <w:pStyle w:val="ListParagraph"/>
        <w:numPr>
          <w:ilvl w:val="0"/>
          <w:numId w:val="2"/>
        </w:numPr>
        <w:spacing w:after="80" w:line="280"/>
      </w:pPr>
      <w:r>
        <w:rPr>
          <w:rFonts w:ascii="Calibri" w:cs="Calibri" w:eastAsia="Calibri" w:hAnsi="Calibri"/>
          <w:b/>
          <w:bCs/>
          <w:sz w:val="22"/>
          <w:szCs w:val="22"/>
        </w:rPr>
        <w:t xml:space="preserve">Güncellik düşükse</w:t>
      </w:r>
      <w:r>
        <w:rPr>
          <w:rFonts w:ascii="Calibri" w:cs="Calibri" w:eastAsia="Calibri" w:hAnsi="Calibri"/>
          <w:sz w:val="22"/>
          <w:szCs w:val="22"/>
        </w:rPr>
        <w:t xml:space="preserve"> eğilimler toplama zamanından etkilenir; olaya yakın yakalamayı prosedürün parçası yapın.</w:t>
      </w:r>
    </w:p>
    <w:p>
      <w:pPr>
        <w:pStyle w:val="ListParagraph"/>
        <w:numPr>
          <w:ilvl w:val="0"/>
          <w:numId w:val="2"/>
        </w:numPr>
        <w:spacing w:after="80" w:line="280"/>
      </w:pPr>
      <w:r>
        <w:rPr>
          <w:rFonts w:ascii="Calibri" w:cs="Calibri" w:eastAsia="Calibri" w:hAnsi="Calibri"/>
          <w:b/>
          <w:bCs/>
          <w:sz w:val="22"/>
          <w:szCs w:val="22"/>
        </w:rPr>
        <w:t xml:space="preserve">Tutarlılık düşükse</w:t>
      </w:r>
      <w:r>
        <w:rPr>
          <w:rFonts w:ascii="Calibri" w:cs="Calibri" w:eastAsia="Calibri" w:hAnsi="Calibri"/>
          <w:sz w:val="22"/>
          <w:szCs w:val="22"/>
        </w:rPr>
        <w:t xml:space="preserve"> dönem karşılaştırması güvenilmezdir; devirdeki “artış”, veri değişikliğinin sonucu olabilir.</w:t>
      </w:r>
    </w:p>
    <w:p>
      <w:pPr>
        <w:pStyle w:val="ListParagraph"/>
        <w:numPr>
          <w:ilvl w:val="0"/>
          <w:numId w:val="2"/>
        </w:numPr>
        <w:spacing w:after="80" w:line="280"/>
      </w:pPr>
      <w:r>
        <w:rPr>
          <w:rFonts w:ascii="Calibri" w:cs="Calibri" w:eastAsia="Calibri" w:hAnsi="Calibri"/>
          <w:b/>
          <w:bCs/>
          <w:sz w:val="22"/>
          <w:szCs w:val="22"/>
        </w:rPr>
        <w:t xml:space="preserve">Uygunluk düşükse</w:t>
      </w:r>
      <w:r>
        <w:rPr>
          <w:rFonts w:ascii="Calibri" w:cs="Calibri" w:eastAsia="Calibri" w:hAnsi="Calibri"/>
          <w:sz w:val="22"/>
          <w:szCs w:val="22"/>
        </w:rPr>
        <w:t xml:space="preserve"> veri toplama maliyeti sağlanan değerin üzerindedir; ama bir veriyi kaldırmadan önce hangi metrik ve karara hizmet ettiğini sınayın.</w:t>
      </w:r>
    </w:p>
    <w:p>
      <w:pPr>
        <w:pStyle w:val="ListParagraph"/>
        <w:numPr>
          <w:ilvl w:val="0"/>
          <w:numId w:val="2"/>
        </w:numPr>
        <w:spacing w:after="80" w:line="280"/>
      </w:pPr>
      <w:r>
        <w:rPr>
          <w:rFonts w:ascii="Calibri" w:cs="Calibri" w:eastAsia="Calibri" w:hAnsi="Calibri"/>
          <w:b/>
          <w:bCs/>
          <w:sz w:val="22"/>
          <w:szCs w:val="22"/>
        </w:rPr>
        <w:t xml:space="preserve">Zorunlu belge ve vizelerde “yaklaşık doğru” kabul edilmez.</w:t>
      </w:r>
      <w:r>
        <w:rPr>
          <w:rFonts w:ascii="Calibri" w:cs="Calibri" w:eastAsia="Calibri" w:hAnsi="Calibri"/>
          <w:sz w:val="22"/>
          <w:szCs w:val="22"/>
        </w:rPr>
        <w:t xml:space="preserve"> Bitiş tarihi teyit edilmemiş tek bir kayıt bile eşiği karşılamaz.</w:t>
      </w:r>
    </w:p>
    <w:p>
      <w:pPr>
        <w:pStyle w:val="ListParagraph"/>
        <w:numPr>
          <w:ilvl w:val="0"/>
          <w:numId w:val="2"/>
        </w:numPr>
        <w:spacing w:after="80" w:line="280"/>
      </w:pPr>
      <w:r>
        <w:rPr>
          <w:rFonts w:ascii="Calibri" w:cs="Calibri" w:eastAsia="Calibri" w:hAnsi="Calibri"/>
          <w:b/>
          <w:bCs/>
          <w:sz w:val="22"/>
          <w:szCs w:val="22"/>
        </w:rPr>
        <w:t xml:space="preserve">Boyut skor kartında en zayıf halkayı okuyun.</w:t>
      </w:r>
      <w:r>
        <w:rPr>
          <w:rFonts w:ascii="Calibri" w:cs="Calibri" w:eastAsia="Calibri" w:hAnsi="Calibri"/>
          <w:sz w:val="22"/>
          <w:szCs w:val="22"/>
        </w:rPr>
        <w:t xml:space="preserve"> Ortalama zayıf boyutu gizler; standart beş unsurun birlikte düşünülmesini ister.</w:t>
      </w:r>
    </w:p>
    <w:p>
      <w:pPr>
        <w:spacing w:after="140" w:line="288"/>
        <w:jc w:val="left"/>
      </w:pPr>
      <w:r>
        <w:rPr>
          <w:rFonts w:ascii="Calibri" w:cs="Calibri" w:eastAsia="Calibri" w:hAnsi="Calibri"/>
          <w:sz w:val="22"/>
          <w:szCs w:val="22"/>
        </w:rPr>
        <w:t xml:space="preserve">Sınırlamalar da önemlidir. Standart formül ve zorunlu eşik vermez; Tablo 4 yalnızca örnek sıklık, örnek hacmi ve düzey içerir. “Hata”, “tutarsız” ve “ilgili” kavramlarının kurum içi tanımını yazılı tutun; standart bu kavramları ölçüm formülüne bağlamaz. Boyut skor kartındaki “en zayıf halka” gibi bileşik göstergeler dış raporlamada kullanılmamalı, boyutlar ayrı raporlanmalıdır. Standardın Ek A’sında aktardığı dış kaynak bulguları (kötü veri kalitesinin iş girişimlerindeki başarısızlıkların %40’ının birincil nedeni olması ve emek verimliliğini %20’ye varan oranda etkilemesi) kuruma özgü ölçüm değildir; kurumunuzun kendi verisiyle doğrulanmamıştır. Küçük örneklerde (örneğin 3 kayıt) tek bir hata oranı otuz üç puan değiştirir; az sayıda kayıtta mutlak sayıları da verin.</w:t>
      </w:r>
    </w:p>
    <w:p>
      <w:pPr>
        <w:pStyle w:val="Heading2"/>
        <w:keepNext/>
        <w:spacing w:after="110" w:before="320"/>
      </w:pPr>
      <w:r>
        <w:rPr>
          <w:rFonts w:ascii="Calibri" w:cs="Calibri" w:eastAsia="Calibri" w:hAnsi="Calibri"/>
          <w:b/>
          <w:bCs/>
          <w:sz w:val="27"/>
          <w:szCs w:val="27"/>
        </w:rPr>
        <w:t xml:space="preserve">1.3.9  Raporlama ve uygulama</w:t>
      </w:r>
    </w:p>
    <w:p>
      <w:pPr>
        <w:spacing w:after="140" w:line="288"/>
        <w:jc w:val="left"/>
      </w:pPr>
      <w:r>
        <w:rPr>
          <w:rFonts w:ascii="Calibri" w:cs="Calibri" w:eastAsia="Calibri" w:hAnsi="Calibri"/>
          <w:sz w:val="22"/>
          <w:szCs w:val="22"/>
        </w:rPr>
        <w:t xml:space="preserve">Her raporda şunlar bulunmalıdır: veri grubu ve kapsam, örnek hacmi ve yöntemi, kabul edilen asgari hata oranı (tolerans), ölçüm dönemi, hata tanımı ve karşılaştırma tabanı. Dış paydaşlara yapılan raporlamada, ISO 30414’te önerilen metriklerin hesaplandığı verinin kalite düzeyi ve tanımları dipnotla belirtilmelidir; böylece 1.1’deki raporun güvenilirliği 1.3’teki denetim iziyle desteklenir.</w:t>
      </w:r>
    </w:p>
    <w:p>
      <w:pPr>
        <w:pStyle w:val="Heading3"/>
        <w:keepNext/>
        <w:spacing w:after="80" w:before="220"/>
      </w:pPr>
      <w:r>
        <w:rPr>
          <w:rFonts w:ascii="Calibri" w:cs="Calibri" w:eastAsia="Calibri" w:hAnsi="Calibri"/>
          <w:b/>
          <w:bCs/>
          <w:color w:val="0B5C8A"/>
          <w:sz w:val="23"/>
          <w:szCs w:val="23"/>
        </w:rPr>
        <w:t xml:space="preserve">On adımda veri kalitesi</w:t>
      </w:r>
    </w:p>
    <w:p>
      <w:pPr>
        <w:pStyle w:val="ListParagraph"/>
        <w:numPr>
          <w:ilvl w:val="0"/>
          <w:numId w:val="8"/>
        </w:numPr>
        <w:spacing w:after="80" w:line="280"/>
      </w:pPr>
      <w:r>
        <w:rPr>
          <w:rFonts w:ascii="Calibri" w:cs="Calibri" w:eastAsia="Calibri" w:hAnsi="Calibri"/>
          <w:b/>
          <w:bCs/>
          <w:sz w:val="22"/>
          <w:szCs w:val="22"/>
        </w:rPr>
        <w:t xml:space="preserve">İlgili veriyi belirleyin</w:t>
      </w:r>
      <w:r>
        <w:rPr>
          <w:rFonts w:ascii="Calibri" w:cs="Calibri" w:eastAsia="Calibri" w:hAnsi="Calibri"/>
          <w:sz w:val="22"/>
          <w:szCs w:val="22"/>
        </w:rPr>
        <w:t xml:space="preserve"> ve girdi–süreç–çıktı–sonuç çerçevesiyle gruplayın.</w:t>
      </w:r>
    </w:p>
    <w:p>
      <w:pPr>
        <w:pStyle w:val="ListParagraph"/>
        <w:numPr>
          <w:ilvl w:val="0"/>
          <w:numId w:val="8"/>
        </w:numPr>
        <w:spacing w:after="80" w:line="280"/>
      </w:pPr>
      <w:r>
        <w:rPr>
          <w:rFonts w:ascii="Calibri" w:cs="Calibri" w:eastAsia="Calibri" w:hAnsi="Calibri"/>
          <w:b/>
          <w:bCs/>
          <w:sz w:val="22"/>
          <w:szCs w:val="22"/>
        </w:rPr>
        <w:t xml:space="preserve">Yaşam döngüsü çerçevesini belgeleyin</w:t>
      </w:r>
      <w:r>
        <w:rPr>
          <w:rFonts w:ascii="Calibri" w:cs="Calibri" w:eastAsia="Calibri" w:hAnsi="Calibri"/>
          <w:sz w:val="22"/>
          <w:szCs w:val="22"/>
        </w:rPr>
        <w:t xml:space="preserve"> (planla–uygula–kontrol et–önlem al).</w:t>
      </w:r>
    </w:p>
    <w:p>
      <w:pPr>
        <w:pStyle w:val="ListParagraph"/>
        <w:numPr>
          <w:ilvl w:val="0"/>
          <w:numId w:val="8"/>
        </w:numPr>
        <w:spacing w:after="80" w:line="280"/>
      </w:pPr>
      <w:r>
        <w:rPr>
          <w:rFonts w:ascii="Calibri" w:cs="Calibri" w:eastAsia="Calibri" w:hAnsi="Calibri"/>
          <w:b/>
          <w:bCs/>
          <w:sz w:val="22"/>
          <w:szCs w:val="22"/>
        </w:rPr>
        <w:t xml:space="preserve">Anahtar işgücü verisini</w:t>
      </w:r>
      <w:r>
        <w:rPr>
          <w:rFonts w:ascii="Calibri" w:cs="Calibri" w:eastAsia="Calibri" w:hAnsi="Calibri"/>
          <w:sz w:val="22"/>
          <w:szCs w:val="22"/>
        </w:rPr>
        <w:t xml:space="preserve"> kurumunuza göre tanımlayın.</w:t>
      </w:r>
    </w:p>
    <w:p>
      <w:pPr>
        <w:pStyle w:val="ListParagraph"/>
        <w:numPr>
          <w:ilvl w:val="0"/>
          <w:numId w:val="8"/>
        </w:numPr>
        <w:spacing w:after="80" w:line="280"/>
      </w:pPr>
      <w:r>
        <w:rPr>
          <w:rFonts w:ascii="Calibri" w:cs="Calibri" w:eastAsia="Calibri" w:hAnsi="Calibri"/>
          <w:b/>
          <w:bCs/>
          <w:sz w:val="22"/>
          <w:szCs w:val="22"/>
        </w:rPr>
        <w:t xml:space="preserve">Sahipliği atayın;</w:t>
      </w:r>
      <w:r>
        <w:rPr>
          <w:rFonts w:ascii="Calibri" w:cs="Calibri" w:eastAsia="Calibri" w:hAnsi="Calibri"/>
          <w:sz w:val="22"/>
          <w:szCs w:val="22"/>
        </w:rPr>
        <w:t xml:space="preserve"> veri kalitesini performans görüşmelerine ekleyin.</w:t>
      </w:r>
    </w:p>
    <w:p>
      <w:pPr>
        <w:pStyle w:val="ListParagraph"/>
        <w:numPr>
          <w:ilvl w:val="0"/>
          <w:numId w:val="8"/>
        </w:numPr>
        <w:spacing w:after="80" w:line="280"/>
      </w:pPr>
      <w:r>
        <w:rPr>
          <w:rFonts w:ascii="Calibri" w:cs="Calibri" w:eastAsia="Calibri" w:hAnsi="Calibri"/>
          <w:b/>
          <w:bCs/>
          <w:sz w:val="22"/>
          <w:szCs w:val="22"/>
        </w:rPr>
        <w:t xml:space="preserve">Yakalama ve bakım prosedürlerini belgeleyin</w:t>
      </w:r>
      <w:r>
        <w:rPr>
          <w:rFonts w:ascii="Calibri" w:cs="Calibri" w:eastAsia="Calibri" w:hAnsi="Calibri"/>
          <w:sz w:val="22"/>
          <w:szCs w:val="22"/>
        </w:rPr>
        <w:t xml:space="preserve"> ve gözden geçirme takvimini kurun.</w:t>
      </w:r>
    </w:p>
    <w:p>
      <w:pPr>
        <w:pStyle w:val="ListParagraph"/>
        <w:numPr>
          <w:ilvl w:val="0"/>
          <w:numId w:val="8"/>
        </w:numPr>
        <w:spacing w:after="80" w:line="280"/>
      </w:pPr>
      <w:r>
        <w:rPr>
          <w:rFonts w:ascii="Calibri" w:cs="Calibri" w:eastAsia="Calibri" w:hAnsi="Calibri"/>
          <w:b/>
          <w:bCs/>
          <w:sz w:val="22"/>
          <w:szCs w:val="22"/>
        </w:rPr>
        <w:t xml:space="preserve">Tolerans belirleyin:</w:t>
      </w:r>
      <w:r>
        <w:rPr>
          <w:rFonts w:ascii="Calibri" w:cs="Calibri" w:eastAsia="Calibri" w:hAnsi="Calibri"/>
          <w:sz w:val="22"/>
          <w:szCs w:val="22"/>
        </w:rPr>
        <w:t xml:space="preserve"> her veri grubu için sıklık, örnek hacmi ve kabul edilen asgari hata oranı.</w:t>
      </w:r>
    </w:p>
    <w:p>
      <w:pPr>
        <w:pStyle w:val="ListParagraph"/>
        <w:numPr>
          <w:ilvl w:val="0"/>
          <w:numId w:val="8"/>
        </w:numPr>
        <w:spacing w:after="80" w:line="280"/>
      </w:pPr>
      <w:r>
        <w:rPr>
          <w:rFonts w:ascii="Calibri" w:cs="Calibri" w:eastAsia="Calibri" w:hAnsi="Calibri"/>
          <w:b/>
          <w:bCs/>
          <w:sz w:val="22"/>
          <w:szCs w:val="22"/>
        </w:rPr>
        <w:t xml:space="preserve">Tarihsel temizlik kapsamına karar verin;</w:t>
      </w:r>
      <w:r>
        <w:rPr>
          <w:rFonts w:ascii="Calibri" w:cs="Calibri" w:eastAsia="Calibri" w:hAnsi="Calibri"/>
          <w:sz w:val="22"/>
          <w:szCs w:val="22"/>
        </w:rPr>
        <w:t xml:space="preserve"> proje ekibi ve plan kurun.</w:t>
      </w:r>
    </w:p>
    <w:p>
      <w:pPr>
        <w:pStyle w:val="ListParagraph"/>
        <w:numPr>
          <w:ilvl w:val="0"/>
          <w:numId w:val="8"/>
        </w:numPr>
        <w:spacing w:after="80" w:line="280"/>
      </w:pPr>
      <w:r>
        <w:rPr>
          <w:rFonts w:ascii="Calibri" w:cs="Calibri" w:eastAsia="Calibri" w:hAnsi="Calibri"/>
          <w:b/>
          <w:bCs/>
          <w:sz w:val="22"/>
          <w:szCs w:val="22"/>
        </w:rPr>
        <w:t xml:space="preserve">Örnekleyin ve gözden geçirin;</w:t>
      </w:r>
      <w:r>
        <w:rPr>
          <w:rFonts w:ascii="Calibri" w:cs="Calibri" w:eastAsia="Calibri" w:hAnsi="Calibri"/>
          <w:sz w:val="22"/>
          <w:szCs w:val="22"/>
        </w:rPr>
        <w:t xml:space="preserve"> doğruluk ve tamlık düzeyini sınayın.</w:t>
      </w:r>
    </w:p>
    <w:p>
      <w:pPr>
        <w:pStyle w:val="ListParagraph"/>
        <w:numPr>
          <w:ilvl w:val="0"/>
          <w:numId w:val="8"/>
        </w:numPr>
        <w:spacing w:after="80" w:line="280"/>
      </w:pPr>
      <w:r>
        <w:rPr>
          <w:rFonts w:ascii="Calibri" w:cs="Calibri" w:eastAsia="Calibri" w:hAnsi="Calibri"/>
          <w:b/>
          <w:bCs/>
          <w:sz w:val="22"/>
          <w:szCs w:val="22"/>
        </w:rPr>
        <w:t xml:space="preserve">Eşiğin altında temizleyin</w:t>
      </w:r>
      <w:r>
        <w:rPr>
          <w:rFonts w:ascii="Calibri" w:cs="Calibri" w:eastAsia="Calibri" w:hAnsi="Calibri"/>
          <w:sz w:val="22"/>
          <w:szCs w:val="22"/>
        </w:rPr>
        <w:t xml:space="preserve"> ve karşılık eylemini sorumluya belgeleyin.</w:t>
      </w:r>
    </w:p>
    <w:p>
      <w:pPr>
        <w:pStyle w:val="ListParagraph"/>
        <w:numPr>
          <w:ilvl w:val="0"/>
          <w:numId w:val="8"/>
        </w:numPr>
        <w:spacing w:after="80" w:line="280"/>
      </w:pPr>
      <w:r>
        <w:rPr>
          <w:rFonts w:ascii="Calibri" w:cs="Calibri" w:eastAsia="Calibri" w:hAnsi="Calibri"/>
          <w:b/>
          <w:bCs/>
          <w:sz w:val="22"/>
          <w:szCs w:val="22"/>
        </w:rPr>
        <w:t xml:space="preserve">Yıllık değerlendirme raporu ve yönetim güvencesi</w:t>
      </w:r>
      <w:r>
        <w:rPr>
          <w:rFonts w:ascii="Calibri" w:cs="Calibri" w:eastAsia="Calibri" w:hAnsi="Calibri"/>
          <w:sz w:val="22"/>
          <w:szCs w:val="22"/>
        </w:rPr>
        <w:t xml:space="preserve"> hazırlayın; denetime açık tutun.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Pratik ilke</w:t>
            </w:r>
          </w:p>
          <w:p>
            <w:pPr>
              <w:spacing w:after="0" w:line="276"/>
            </w:pPr>
            <w:r>
              <w:rPr>
                <w:rFonts w:ascii="Calibri" w:cs="Calibri" w:eastAsia="Calibri" w:hAnsi="Calibri"/>
                <w:sz w:val="21"/>
                <w:szCs w:val="21"/>
              </w:rPr>
              <w:t xml:space="preserve">Küçük kurumlar için üç şey yeterlidir: hangi verinin önemli olduğunu yazmak, giriş ve güncelleme prosedürünü belgelemek ve anahtar veri noktaları için basit bir örnekleme ve tolerans belirleyip yılda en az bir kez gözden geçirmek. Veri kalitesi, pahalı bir sistem değil, tutarlı bir alışkanlıktır.</w:t>
            </w:r>
          </w:p>
        </w:tc>
      </w:tr>
    </w:tbl>
    <w:p>
      <w:pPr>
        <w:spacing w:after="120"/>
      </w:pPr>
    </w:p>
    <w:p>
      <w:pPr>
        <w:spacing w:after="140" w:line="288"/>
        <w:jc w:val="left"/>
      </w:pPr>
      <w:r>
        <w:rPr>
          <w:rFonts w:ascii="Calibri" w:cs="Calibri" w:eastAsia="Calibri" w:hAnsi="Calibri"/>
          <w:sz w:val="22"/>
          <w:szCs w:val="22"/>
        </w:rPr>
        <w:t xml:space="preserve">Sonraki adım: Veri ve çerçeve hazır olduğunda, ISO 30414’ün en hassas alanlarından birine, yani uyum ve etik metriklerine geçiyoruz (1.4).</w:t>
      </w:r>
    </w:p>
    <w:p>
      <w:pPr>
        <w:pStyle w:val="Heading1"/>
        <w:keepNext/>
        <w:pageBreakBefore/>
        <w:spacing w:after="100" w:before="0"/>
      </w:pPr>
      <w:r>
        <w:rPr>
          <w:rFonts w:ascii="Calibri" w:cs="Calibri" w:eastAsia="Calibri" w:hAnsi="Calibri"/>
          <w:b/>
          <w:bCs/>
          <w:color w:val="0B5C8A"/>
          <w:sz w:val="34"/>
          <w:szCs w:val="34"/>
        </w:rPr>
        <w:t xml:space="preserve">1.4  Uyum ve Etik Metrikleri Kümesi</w:t>
      </w:r>
    </w:p>
    <w:p>
      <w:pPr>
        <w:keepNext/>
        <w:pBdr>
          <w:bottom w:val="single" w:color="0B5C8A" w:sz="8" w:space="6"/>
        </w:pBdr>
        <w:spacing w:after="220"/>
      </w:pPr>
      <w:r>
        <w:rPr>
          <w:rFonts w:ascii="Calibri" w:cs="Calibri" w:eastAsia="Calibri" w:hAnsi="Calibri"/>
          <w:i/>
          <w:iCs/>
          <w:color w:val="59636F"/>
          <w:sz w:val="26"/>
          <w:szCs w:val="26"/>
        </w:rPr>
        <w:t xml:space="preserve">Uyum ve etik göstergeleri · ISO/TS 30423</w:t>
      </w:r>
    </w:p>
    <w:p>
      <w:pPr>
        <w:spacing w:after="140" w:line="288"/>
        <w:jc w:val="left"/>
      </w:pPr>
      <w:r>
        <w:rPr>
          <w:rFonts w:ascii="Calibri" w:cs="Calibri" w:eastAsia="Calibri" w:hAnsi="Calibri"/>
          <w:sz w:val="22"/>
          <w:szCs w:val="22"/>
        </w:rPr>
        <w:t xml:space="preserve">İnsan kaynakları ölçümünün en hassas alanı, kurumun kurallara ve etik değerlere uyumunu gösteren göstergelerdir. Bir şikâyet, bir disiplin dosyası ya da bir dış uyuşmazlık, yalnızca bir sayı değil; çoğu zaman bir insanın deneyimi, bir ilişkinin kopuşu ve bir kurumun hesap verme kapasitesinin sınavıdır. ISO/TS 30423, bu alanı ölçülebilir ve karşılaştırılabilir kılmak için beş metrik tanımlar. Bu bölümü okuduğunuzda kümenin metriklerini, iki ayrı hesap mantığını, sınıflandırma kategorilerini, yorum tuzaklarını ve raporlama ilkelerini öğrenmiş olacaksınız.</w:t>
      </w:r>
    </w:p>
    <w:p>
      <w:pPr>
        <w:pStyle w:val="Heading2"/>
        <w:keepNext/>
        <w:spacing w:after="110" w:before="320"/>
      </w:pPr>
      <w:r>
        <w:rPr>
          <w:rFonts w:ascii="Calibri" w:cs="Calibri" w:eastAsia="Calibri" w:hAnsi="Calibri"/>
          <w:b/>
          <w:bCs/>
          <w:sz w:val="27"/>
          <w:szCs w:val="27"/>
        </w:rPr>
        <w:t xml:space="preserve">1.4.1  Standardın yeri ve beş metrik</w:t>
      </w:r>
    </w:p>
    <w:p>
      <w:pPr>
        <w:spacing w:after="140" w:line="288"/>
        <w:jc w:val="left"/>
      </w:pPr>
      <w:r>
        <w:rPr>
          <w:rFonts w:ascii="Calibri" w:cs="Calibri" w:eastAsia="Calibri" w:hAnsi="Calibri"/>
          <w:sz w:val="22"/>
          <w:szCs w:val="22"/>
        </w:rPr>
        <w:t xml:space="preserve">ISO/TS 30423:2021, ISO 30414’ün “uyum ve etik” kümesini ayrıntılandıran bir teknik şartnamedir (ISO 30414:2018 sürümünde madde 4.7.2; 2025 sürümünde uyum, etik ve işgücü ilişkileri alanı). Beş metrik tanımlar:</w:t>
      </w:r>
    </w:p>
    <w:p>
      <w:pPr>
        <w:pStyle w:val="ListParagraph"/>
        <w:numPr>
          <w:ilvl w:val="0"/>
          <w:numId w:val="9"/>
        </w:numPr>
        <w:spacing w:after="80" w:line="280"/>
      </w:pPr>
      <w:r>
        <w:rPr>
          <w:rFonts w:ascii="Calibri" w:cs="Calibri" w:eastAsia="Calibri" w:hAnsi="Calibri"/>
          <w:sz w:val="22"/>
          <w:szCs w:val="22"/>
        </w:rPr>
        <w:t xml:space="preserve">Açılan </w:t>
      </w:r>
      <w:r>
        <w:rPr>
          <w:rFonts w:ascii="Calibri" w:cs="Calibri" w:eastAsia="Calibri" w:hAnsi="Calibri"/>
          <w:b/>
          <w:bCs/>
          <w:sz w:val="22"/>
          <w:szCs w:val="22"/>
        </w:rPr>
        <w:t xml:space="preserve">şikâyetlerin sayısı ve türü</w:t>
      </w:r>
      <w:r>
        <w:rPr>
          <w:rFonts w:ascii="Calibri" w:cs="Calibri" w:eastAsia="Calibri" w:hAnsi="Calibri"/>
          <w:sz w:val="22"/>
          <w:szCs w:val="22"/>
        </w:rPr>
        <w:t xml:space="preserve">.</w:t>
      </w:r>
    </w:p>
    <w:p>
      <w:pPr>
        <w:pStyle w:val="ListParagraph"/>
        <w:numPr>
          <w:ilvl w:val="0"/>
          <w:numId w:val="9"/>
        </w:numPr>
        <w:spacing w:after="80" w:line="280"/>
      </w:pPr>
      <w:r>
        <w:rPr>
          <w:rFonts w:ascii="Calibri" w:cs="Calibri" w:eastAsia="Calibri" w:hAnsi="Calibri"/>
          <w:sz w:val="22"/>
          <w:szCs w:val="22"/>
        </w:rPr>
        <w:t xml:space="preserve">Sonuçlandırılan </w:t>
      </w:r>
      <w:r>
        <w:rPr>
          <w:rFonts w:ascii="Calibri" w:cs="Calibri" w:eastAsia="Calibri" w:hAnsi="Calibri"/>
          <w:b/>
          <w:bCs/>
          <w:sz w:val="22"/>
          <w:szCs w:val="22"/>
        </w:rPr>
        <w:t xml:space="preserve">disiplin işlemlerinin sayısı ve türü</w:t>
      </w:r>
      <w:r>
        <w:rPr>
          <w:rFonts w:ascii="Calibri" w:cs="Calibri" w:eastAsia="Calibri" w:hAnsi="Calibri"/>
          <w:sz w:val="22"/>
          <w:szCs w:val="22"/>
        </w:rPr>
        <w:t xml:space="preserve">.</w:t>
      </w:r>
    </w:p>
    <w:p>
      <w:pPr>
        <w:pStyle w:val="ListParagraph"/>
        <w:numPr>
          <w:ilvl w:val="0"/>
          <w:numId w:val="9"/>
        </w:numPr>
        <w:spacing w:after="80" w:line="280"/>
      </w:pPr>
      <w:r>
        <w:rPr>
          <w:rFonts w:ascii="Calibri" w:cs="Calibri" w:eastAsia="Calibri" w:hAnsi="Calibri"/>
          <w:sz w:val="22"/>
          <w:szCs w:val="22"/>
        </w:rPr>
        <w:t xml:space="preserve">Uyum ve etik </w:t>
      </w:r>
      <w:r>
        <w:rPr>
          <w:rFonts w:ascii="Calibri" w:cs="Calibri" w:eastAsia="Calibri" w:hAnsi="Calibri"/>
          <w:b/>
          <w:bCs/>
          <w:sz w:val="22"/>
          <w:szCs w:val="22"/>
        </w:rPr>
        <w:t xml:space="preserve">eğitimini tamamlayan çalışan oranı</w:t>
      </w:r>
      <w:r>
        <w:rPr>
          <w:rFonts w:ascii="Calibri" w:cs="Calibri" w:eastAsia="Calibri" w:hAnsi="Calibri"/>
          <w:sz w:val="22"/>
          <w:szCs w:val="22"/>
        </w:rPr>
        <w:t xml:space="preserve">.</w:t>
      </w:r>
    </w:p>
    <w:p>
      <w:pPr>
        <w:pStyle w:val="ListParagraph"/>
        <w:numPr>
          <w:ilvl w:val="0"/>
          <w:numId w:val="9"/>
        </w:numPr>
        <w:spacing w:after="80" w:line="280"/>
      </w:pPr>
      <w:r>
        <w:rPr>
          <w:rFonts w:ascii="Calibri" w:cs="Calibri" w:eastAsia="Calibri" w:hAnsi="Calibri"/>
          <w:sz w:val="22"/>
          <w:szCs w:val="22"/>
        </w:rPr>
        <w:t xml:space="preserve">Dış taraflara havale edilen </w:t>
      </w:r>
      <w:r>
        <w:rPr>
          <w:rFonts w:ascii="Calibri" w:cs="Calibri" w:eastAsia="Calibri" w:hAnsi="Calibri"/>
          <w:b/>
          <w:bCs/>
          <w:sz w:val="22"/>
          <w:szCs w:val="22"/>
        </w:rPr>
        <w:t xml:space="preserve">uyuşmazlıkların sayısı ve türü</w:t>
      </w:r>
      <w:r>
        <w:rPr>
          <w:rFonts w:ascii="Calibri" w:cs="Calibri" w:eastAsia="Calibri" w:hAnsi="Calibri"/>
          <w:sz w:val="22"/>
          <w:szCs w:val="22"/>
        </w:rPr>
        <w:t xml:space="preserve">.</w:t>
      </w:r>
    </w:p>
    <w:p>
      <w:pPr>
        <w:pStyle w:val="ListParagraph"/>
        <w:numPr>
          <w:ilvl w:val="0"/>
          <w:numId w:val="9"/>
        </w:numPr>
        <w:spacing w:after="80" w:line="280"/>
      </w:pPr>
      <w:r>
        <w:rPr>
          <w:rFonts w:ascii="Calibri" w:cs="Calibri" w:eastAsia="Calibri" w:hAnsi="Calibri"/>
          <w:b/>
          <w:bCs/>
          <w:sz w:val="22"/>
          <w:szCs w:val="22"/>
        </w:rPr>
        <w:t xml:space="preserve">Dış (denetim dahil) bulguların</w:t>
      </w:r>
      <w:r>
        <w:rPr>
          <w:rFonts w:ascii="Calibri" w:cs="Calibri" w:eastAsia="Calibri" w:hAnsi="Calibri"/>
          <w:sz w:val="22"/>
          <w:szCs w:val="22"/>
        </w:rPr>
        <w:t xml:space="preserve"> sayısı, türü, kaynağı ve bunlardan doğan eylemler.</w:t>
      </w:r>
    </w:p>
    <w:p>
      <w:pPr>
        <w:spacing w:after="140" w:line="288"/>
        <w:jc w:val="left"/>
      </w:pPr>
      <w:r>
        <w:rPr>
          <w:rFonts w:ascii="Calibri" w:cs="Calibri" w:eastAsia="Calibri" w:hAnsi="Calibri"/>
          <w:sz w:val="22"/>
          <w:szCs w:val="22"/>
        </w:rPr>
        <w:t xml:space="preserve">Kümenin ayırt edici yanı, metriklerin çoğunun bir oran değil, yıl başından itibaren biriken bir sayım olmasıdır; iki metrik ise açılış bakiyesi, dönem içi ekleme ve kapanış bakiyesiyle çalışan bir hareket hesabı kullanır. Sadece bir tanesi, eğitim tamamlama, klasik bir orandır. Bu yapı, devir ya da üretkenlik gibi oran odaklı kümelerden farklıdır ve bu fark hesaplama hatalarının ana kaynağıdır.</w:t>
      </w:r>
    </w:p>
    <w:p>
      <w:pPr>
        <w:pStyle w:val="Heading3"/>
        <w:keepNext/>
        <w:spacing w:after="80" w:before="220"/>
      </w:pPr>
      <w:r>
        <w:rPr>
          <w:rFonts w:ascii="Calibri" w:cs="Calibri" w:eastAsia="Calibri" w:hAnsi="Calibri"/>
          <w:b/>
          <w:bCs/>
          <w:color w:val="0B5C8A"/>
          <w:sz w:val="23"/>
          <w:szCs w:val="23"/>
        </w:rPr>
        <w:t xml:space="preserve">Kimin için ve ne zaman?</w:t>
      </w:r>
    </w:p>
    <w:p>
      <w:pPr>
        <w:spacing w:after="140" w:line="288"/>
        <w:jc w:val="left"/>
      </w:pPr>
      <w:r>
        <w:rPr>
          <w:rFonts w:ascii="Calibri" w:cs="Calibri" w:eastAsia="Calibri" w:hAnsi="Calibri"/>
          <w:sz w:val="22"/>
          <w:szCs w:val="22"/>
        </w:rPr>
        <w:t xml:space="preserve">Standardın belirttiği kullanım durumları şunlardır: Örgüt ikliminin resmini çıkarmak (dış taraflara havale edilen uyuşmazlık sayısı, iç uyuşmazlıkların dışarıda çözülmesinin gerekli hâle geldiği bir çalışma ortamını gösterir); nedenin anlaşılması ve önleyici yanıt geliştirilmesi gerektiğinde şikâyet ve disiplin işlemlerini sınıflandırmak; etik ve davranış kuralları programının etkisini ölçmek; dış denetim ve tahkim sonuçlarını izlemek; uzlaşma çabasını değerlendirmek. Dış raporlamada kümenin kullanıcıları yatırımcılar, finansal analistler, sendikalar, medya ve kıyaslama yapan sektör gruplarıdır; ancak metriklerin tümü dış kullanım için tasarlanmamıştır.</w:t>
      </w:r>
    </w:p>
    <w:p>
      <w:pPr>
        <w:spacing w:after="140" w:line="288"/>
        <w:jc w:val="left"/>
      </w:pPr>
      <w:r>
        <w:rPr>
          <w:rFonts w:ascii="Calibri" w:cs="Calibri" w:eastAsia="Calibri" w:hAnsi="Calibri"/>
          <w:sz w:val="22"/>
          <w:szCs w:val="22"/>
        </w:rPr>
        <w:t xml:space="preserve">Hesap, mali yıl ya da yıllık bütçe döngüsüyle, ya da her ikisiyle hizalanır. Hesaplama anı, her ölçüm döneminin sonunda kayıtlı olan sayıdır: birinci ayın sonu, ikinci çeyreğin sonu, yıl sonu toplamları gibi. Başka bir ölçüm noktası seçilirse tercih tutarlı biçimde uygulanır ve açıkça yazılır.</w:t>
      </w:r>
    </w:p>
    <w:p>
      <w:pPr>
        <w:pStyle w:val="Heading2"/>
        <w:keepNext/>
        <w:spacing w:after="110" w:before="320"/>
      </w:pPr>
      <w:r>
        <w:rPr>
          <w:rFonts w:ascii="Calibri" w:cs="Calibri" w:eastAsia="Calibri" w:hAnsi="Calibri"/>
          <w:b/>
          <w:bCs/>
          <w:sz w:val="27"/>
          <w:szCs w:val="27"/>
        </w:rPr>
        <w:t xml:space="preserve">1.4.2  Yedi bileşenli metrik tanımı</w:t>
      </w:r>
    </w:p>
    <w:p>
      <w:pPr>
        <w:spacing w:after="140" w:line="288"/>
        <w:jc w:val="left"/>
      </w:pPr>
      <w:r>
        <w:rPr>
          <w:rFonts w:ascii="Calibri" w:cs="Calibri" w:eastAsia="Calibri" w:hAnsi="Calibri"/>
          <w:sz w:val="22"/>
          <w:szCs w:val="22"/>
        </w:rPr>
        <w:t xml:space="preserve">Kümedeki her metrik, aynı yedi bileşenle tanımlanır. Bu yapı, kendi metriklerinizi tasarlarken de bir şablon olarak kullanılabilir.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Bileşen</w:t>
            </w:r>
          </w:p>
        </w:tc>
        <w:tc>
          <w:tcPr>
            <w:tcW w:type="dxa" w:w="6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Yanıtladığı soru</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Tanım</w:t>
            </w:r>
          </w:p>
        </w:tc>
        <w:tc>
          <w:tcPr>
            <w:tcW w:type="dxa" w:w="6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Metrik neyi sayar?</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Amaç</w:t>
            </w:r>
          </w:p>
        </w:tc>
        <w:tc>
          <w:tcPr>
            <w:tcW w:type="dxa" w:w="6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Hangi kurumsal soruya hizmet eder, nasıl sınıflandırılır?</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Formül</w:t>
            </w:r>
          </w:p>
        </w:tc>
        <w:tc>
          <w:tcPr>
            <w:tcW w:type="dxa" w:w="6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Nasıl hesaplanır, ölçüm noktası nedir?</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Kullanım biçimi</w:t>
            </w:r>
          </w:p>
        </w:tc>
        <w:tc>
          <w:tcPr>
            <w:tcW w:type="dxa" w:w="6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Karşılaştırmalı tabloda ne görünür?</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Hedef kullanıcılar</w:t>
            </w:r>
          </w:p>
        </w:tc>
        <w:tc>
          <w:tcPr>
            <w:tcW w:type="dxa" w:w="6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Kime raporlanır (iç ve dış)?</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Bağlam etkenleri</w:t>
            </w:r>
          </w:p>
        </w:tc>
        <w:tc>
          <w:tcPr>
            <w:tcW w:type="dxa" w:w="6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Sonucu bugün ne etkiliyor olabilir?</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Öngörü etkenleri</w:t>
            </w:r>
          </w:p>
        </w:tc>
        <w:tc>
          <w:tcPr>
            <w:tcW w:type="dxa" w:w="6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Bilinen ve beklenen olaylar sonucu nasıl değiştirecek?</w:t>
            </w:r>
          </w:p>
        </w:tc>
      </w:tr>
    </w:tbl>
    <w:p>
      <w:pPr>
        <w:spacing w:after="140"/>
      </w:pPr>
    </w:p>
    <w:p>
      <w:pPr>
        <w:spacing w:after="140" w:line="288"/>
        <w:jc w:val="left"/>
      </w:pPr>
      <w:r>
        <w:rPr>
          <w:rFonts w:ascii="Calibri" w:cs="Calibri" w:eastAsia="Calibri" w:hAnsi="Calibri"/>
          <w:sz w:val="22"/>
          <w:szCs w:val="22"/>
        </w:rPr>
        <w:t xml:space="preserve">Son iki bileşen, standardın “etken” anlayışını yansıtır. Bağlam etkenleri, sayıyı bugün şekillendiren koşulları (kurumun büyümesi, yeni bir politika, sektörel gelişmeler) ifade eder. Öngörü etkenleri ise henüz gerçekleşmemiş ama bilinen olayları (planlanan bir yeniden yapılanma, yeni bir yasal düzenleme) kapsar. Bir şikâyet sayısının yanına “bu dönem kadro %40 büyüdü” ya da “yeni bir davranış kuralları programı başlıyor” bilgisini eklemek, sayıyı bir bilgiye dönüştürür.</w:t>
      </w:r>
    </w:p>
    <w:p>
      <w:pPr>
        <w:pStyle w:val="Heading2"/>
        <w:keepNext/>
        <w:spacing w:after="110" w:before="320"/>
      </w:pPr>
      <w:r>
        <w:rPr>
          <w:rFonts w:ascii="Calibri" w:cs="Calibri" w:eastAsia="Calibri" w:hAnsi="Calibri"/>
          <w:b/>
          <w:bCs/>
          <w:sz w:val="27"/>
          <w:szCs w:val="27"/>
        </w:rPr>
        <w:t xml:space="preserve">1.4.3  İki hesap mantığı: birikim ve hareket</w:t>
      </w:r>
    </w:p>
    <w:p>
      <w:pPr>
        <w:spacing w:after="140" w:line="288"/>
        <w:jc w:val="left"/>
      </w:pPr>
      <w:r>
        <w:rPr>
          <w:rFonts w:ascii="Calibri" w:cs="Calibri" w:eastAsia="Calibri" w:hAnsi="Calibri"/>
          <w:sz w:val="22"/>
          <w:szCs w:val="22"/>
        </w:rPr>
        <w:t xml:space="preserve">Kümedeki metrikler aynı biçimde hesaplanmaz. Hangi mantığın kullanıldığı ayrılmadan yapılan toplama, aynı vakayı iki kez saymaya ya da hiç saymamaya yol açar.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538"/>
        <w:gridCol w:w="2700"/>
      </w:tblGrid>
      <w:tr>
        <w:trPr>
          <w:cantSplit/>
          <w:tblHeader/>
        </w:trPr>
        <w:tc>
          <w:tcPr>
            <w:tcW w:type="dxa" w:w="2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Mantık</w:t>
            </w:r>
          </w:p>
        </w:tc>
        <w:tc>
          <w:tcPr>
            <w:tcW w:type="dxa" w:w="45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Formül</w:t>
            </w:r>
          </w:p>
        </w:tc>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Hangi metrikler?</w:t>
            </w:r>
          </w:p>
        </w:tc>
      </w:tr>
      <w:tr>
        <w:trPr>
          <w:cantSplit/>
        </w:trPr>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Yıl başından itibaren birikim</w:t>
            </w:r>
          </w:p>
        </w:tc>
        <w:tc>
          <w:tcPr>
            <w:tcW w:type="dxa" w:w="4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Dönem toplamı = A₁ + A₂ + … + Aₙ</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Açılan şikâyetler; dış taraflara havale edilen uyuşmazlıklar</w:t>
            </w:r>
          </w:p>
        </w:tc>
      </w:tr>
      <w:tr>
        <w:trPr>
          <w:cantSplit/>
        </w:trPr>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Hareket hesabı</w:t>
            </w:r>
          </w:p>
        </w:tc>
        <w:tc>
          <w:tcPr>
            <w:tcW w:type="dxa" w:w="4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Sonuçlandırılan = açılış bakiyesi + dönemde eklenen − kapanış bakiyesi</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Sonuçlandırılan disiplin işlemleri</w:t>
            </w:r>
          </w:p>
        </w:tc>
      </w:tr>
      <w:tr>
        <w:trPr>
          <w:cantSplit/>
        </w:trPr>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Hareket hesabı (dış)</w:t>
            </w:r>
          </w:p>
        </w:tc>
        <w:tc>
          <w:tcPr>
            <w:tcW w:type="dxa" w:w="45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Sonuçlandırılan = açılış bakiyesi + dönemde havale edilen − geri çekilen − kapanış bakiyesi</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Dış taraflarca sonuçlandırılan uyuşmazlıklar</w:t>
            </w:r>
          </w:p>
        </w:tc>
      </w:tr>
      <w:tr>
        <w:trPr>
          <w:cantSplit/>
        </w:trPr>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Oran</w:t>
            </w:r>
          </w:p>
        </w:tc>
        <w:tc>
          <w:tcPr>
            <w:tcW w:type="dxa" w:w="45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(Tamamlayan çalışan ÷ tamamlaması gereken çalışan) × 100</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Uyum ve etik eğitimini tamamlayan çalışan oranı</w:t>
            </w:r>
          </w:p>
        </w:tc>
      </w:tr>
    </w:tbl>
    <w:p>
      <w:pPr>
        <w:spacing w:after="140"/>
      </w:pPr>
    </w:p>
    <w:p>
      <w:pPr>
        <w:spacing w:after="140" w:line="288"/>
        <w:jc w:val="left"/>
      </w:pPr>
      <w:r>
        <w:rPr>
          <w:rFonts w:ascii="Calibri" w:cs="Calibri" w:eastAsia="Calibri" w:hAnsi="Calibri"/>
          <w:sz w:val="22"/>
          <w:szCs w:val="22"/>
        </w:rPr>
        <w:t xml:space="preserve">Hareket hesabının neden gerekli olduğunu bir örnekle görelim. Bir kurumun yıl başında 12 açık disiplin dosyası olsun; yıl içinde 9 yeni dosya açılsın ve yıl sonunda 10 dosya açık kalsın. Yıl içinde sonuçlandırılan dosya sayısı 12 + 9 − 10 = 11’dir. Yalnızca “yıl içinde açılan dosya” sayılırsa 9, yalnızca “yıl sonunda açık dosya” sayılırsa 10 bulunur; ikisi de yanlıştır. Önceki yıldan devreden ve bu yıl kapanan dosyalar sayıma girmeli, hâlâ açık olanlar girmemelidir. Dış uyuşmazlıklarda ek olarak geri çekilenler düşülür: Açılışta 3 uyuşmazlık, dönemde 4 yeni havale, 1 geri çekme ve kapanışta 2 açık dosya varsa dış taraflarca sonuçlandırılan sayı 3 + 4 − 1 − 2 = 4’tür.</w:t>
      </w:r>
    </w:p>
    <w:p>
      <w:pPr>
        <w:spacing w:after="140" w:line="288"/>
        <w:jc w:val="left"/>
      </w:pPr>
      <w:r>
        <w:rPr>
          <w:rFonts w:ascii="Calibri" w:cs="Calibri" w:eastAsia="Calibri" w:hAnsi="Calibri"/>
          <w:sz w:val="22"/>
          <w:szCs w:val="22"/>
        </w:rPr>
        <w:t xml:space="preserve">Birikim mantığında da bir inceliğe dikkat edilmelidir: Aylık değerler toplanarak yıl başından itibaren bir seri elde edilir (A₁, A₁ + A₂, A₁ + A₂ + A₃ ...). Ardından aynı formül her kategoriye ayrı ayrı uygulanır. Toplam sayı eğilimi gösterir; kategori kırılımı ise nedeni ve alınacak önlemi. Taciz şikâyetleri artarken fiziksel saldırı şikâyetlerinin düşmesi, toplam aynı kalsa bile bambaşka bir tablodur.</w:t>
      </w:r>
    </w:p>
    <w:p>
      <w:pPr>
        <w:pStyle w:val="Heading2"/>
        <w:keepNext/>
        <w:spacing w:after="110" w:before="320"/>
      </w:pPr>
      <w:r>
        <w:rPr>
          <w:rFonts w:ascii="Calibri" w:cs="Calibri" w:eastAsia="Calibri" w:hAnsi="Calibri"/>
          <w:b/>
          <w:bCs/>
          <w:sz w:val="27"/>
          <w:szCs w:val="27"/>
        </w:rPr>
        <w:t xml:space="preserve">1.4.4  Sınıflandırma kategorileri</w:t>
      </w:r>
    </w:p>
    <w:p>
      <w:pPr>
        <w:spacing w:after="140" w:line="288"/>
        <w:jc w:val="left"/>
      </w:pPr>
      <w:r>
        <w:rPr>
          <w:rFonts w:ascii="Calibri" w:cs="Calibri" w:eastAsia="Calibri" w:hAnsi="Calibri"/>
          <w:sz w:val="22"/>
          <w:szCs w:val="22"/>
        </w:rPr>
        <w:t xml:space="preserve">Standart, her metrik için örnek kategoriler önerir. Kategori tasarımı, kurumun tanımlarının bir parçasıdır ve rapor edilen sayıların anlamını belirler.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69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Standardın andığı kategoriler</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Şikâyetler</w:t>
            </w:r>
          </w:p>
        </w:tc>
        <w:tc>
          <w:tcPr>
            <w:tcW w:type="dxa" w:w="6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Taciz; ayrımcılık (doğrudan: kişiye ya da gruba yönelik; dolaylı: bir politikanın yorumu üzerinden); saldırı (sözlü, fiziksel). Ayrıca içeride çözülenler ve dışarıda çözülenler</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Disiplin işlemleri</w:t>
            </w:r>
          </w:p>
        </w:tc>
        <w:tc>
          <w:tcPr>
            <w:tcW w:type="dxa" w:w="6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Yukarıdakilere ek olarak bireysel performans; kurumun değer ve etiğine zayıf uyum; düşük iş performansı; mevzuat ya da politika gerekliliklerine uymama</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Dış uyuşmazlıklar ve bulgular</w:t>
            </w:r>
          </w:p>
        </w:tc>
        <w:tc>
          <w:tcPr>
            <w:tcW w:type="dxa" w:w="6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Haksız fesih; mali uyuşmazlıklar; ücret ya da hak edişler; sözleşmesel uyuşmazlıklar; strese bağlı uyuşmazlıklar; kazaya bağlı uyuşmazlıklar; davranış kuralları</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Bulgu kaynakları</w:t>
            </w:r>
          </w:p>
        </w:tc>
        <w:tc>
          <w:tcPr>
            <w:tcW w:type="dxa" w:w="6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Tahkim kurulu, mahkeme, kamu kurumu gibi yetkili üçüncü taraflar</w:t>
            </w:r>
          </w:p>
        </w:tc>
      </w:tr>
    </w:tbl>
    <w:p>
      <w:pPr>
        <w:spacing w:after="140"/>
      </w:pPr>
    </w:p>
    <w:p>
      <w:pPr>
        <w:spacing w:after="140" w:line="288"/>
        <w:jc w:val="left"/>
      </w:pPr>
      <w:r>
        <w:rPr>
          <w:rFonts w:ascii="Calibri" w:cs="Calibri" w:eastAsia="Calibri" w:hAnsi="Calibri"/>
          <w:sz w:val="22"/>
          <w:szCs w:val="22"/>
        </w:rPr>
        <w:t xml:space="preserve">Kategorilerin ilişkili olduğu diğer rehberler bölüm 1.4’ün ötesine uzanır. Kazaya bağlı uyuşmazlıklar ISO/TS 24179 (5.4) ile, haksız fesih uyuşmazlıkları ve ayrılışlar arasındaki ilişki ISO/TS 30421 (5.5) ile, ayrımcılık ve taciz kategorileri ISO 30415 (5.3) ile, uyum eğitimi saatleri ve katılımı ise ISO/TS 30428 (4.3) ile birlikte okunmalıdır. Uyum ve etik, insan sermayesinin diğer alanlarından yalıtılmış bir konu değildir; devir, güvenlik, çeşitlilik ve öğrenme göstergeleriyle iç içe geçer.</w:t>
      </w:r>
    </w:p>
    <w:p>
      <w:pPr>
        <w:pStyle w:val="Heading2"/>
        <w:keepNext/>
        <w:spacing w:after="110" w:before="320"/>
      </w:pPr>
      <w:r>
        <w:rPr>
          <w:rFonts w:ascii="Calibri" w:cs="Calibri" w:eastAsia="Calibri" w:hAnsi="Calibri"/>
          <w:b/>
          <w:bCs/>
          <w:sz w:val="27"/>
          <w:szCs w:val="27"/>
        </w:rPr>
        <w:t xml:space="preserve">1.4.5  Temel kavramlar</w:t>
      </w:r>
    </w:p>
    <w:p>
      <w:pPr>
        <w:spacing w:after="140" w:line="288"/>
        <w:jc w:val="left"/>
      </w:pPr>
      <w:r>
        <w:rPr>
          <w:rFonts w:ascii="Calibri" w:cs="Calibri" w:eastAsia="Calibri" w:hAnsi="Calibri"/>
          <w:sz w:val="22"/>
          <w:szCs w:val="22"/>
        </w:rPr>
        <w:t xml:space="preserve">Kümenin terimleri (şikâyet, disiplin işlemi, sonuçlandırılan, açılış ve kapanış bakiyesi, dış tarafa havale, geri çekilen, dış bulgu, şikâyetsiz gün) rehber sayfasında İngilizce karşılıklarıyla listelenir. Bunlardan ikisi özellikle kritiktir. Birincisi, “resmî şikâyet” tanımıdır: Standart iki tetikleyici verir; şikâyetin kaydedilmesi (raporlanması) ya da bir soruşturmanın başlaması. Bu andan itibaren şikâyet resmîdir ve analitik ile raporlama süreçlerine dahil edilir. Tanımı kurum kendisi yapar, ancak ilgili tüm iç ve dış tarafların bu tanım hakkında bilgilendirilmesi ve eğitilmesi gerekir. İkincisi, “eğitimin tamamlanması”dır: Standart bunu katılıma değil, yetkinliğe bağlar. Bir çalışanın e-öğrenme modülünü açması ve kapatması, eğitimi tamamladığı anlamına gelmez; kurumun tanımladığı değerlendirme ölçütüne göre uygulamada yetkin bulunması gerekir.</w:t>
      </w:r>
    </w:p>
    <w:p>
      <w:pPr>
        <w:pStyle w:val="Heading2"/>
        <w:keepNext/>
        <w:spacing w:after="110" w:before="320"/>
      </w:pPr>
      <w:r>
        <w:rPr>
          <w:rFonts w:ascii="Calibri" w:cs="Calibri" w:eastAsia="Calibri" w:hAnsi="Calibri"/>
          <w:b/>
          <w:bCs/>
          <w:sz w:val="27"/>
          <w:szCs w:val="27"/>
        </w:rPr>
        <w:t xml:space="preserve">1.4.6  Metriklerin kurulması: sekiz adım</w:t>
      </w:r>
    </w:p>
    <w:p>
      <w:pPr>
        <w:pStyle w:val="ListParagraph"/>
        <w:numPr>
          <w:ilvl w:val="0"/>
          <w:numId w:val="10"/>
        </w:numPr>
        <w:spacing w:after="80" w:line="280"/>
      </w:pPr>
      <w:r>
        <w:rPr>
          <w:rFonts w:ascii="Calibri" w:cs="Calibri" w:eastAsia="Calibri" w:hAnsi="Calibri"/>
          <w:b/>
          <w:bCs/>
          <w:sz w:val="22"/>
          <w:szCs w:val="22"/>
        </w:rPr>
        <w:t xml:space="preserve">Tanımları yazın.</w:t>
      </w:r>
      <w:r>
        <w:rPr>
          <w:rFonts w:ascii="Calibri" w:cs="Calibri" w:eastAsia="Calibri" w:hAnsi="Calibri"/>
          <w:sz w:val="22"/>
          <w:szCs w:val="22"/>
        </w:rPr>
        <w:t xml:space="preserve"> “Şikâyet” ve “disiplin işlemi” kurumunuz için ne demek; bir şikâyet hangi anda resmî sayılıyor?</w:t>
      </w:r>
    </w:p>
    <w:p>
      <w:pPr>
        <w:pStyle w:val="ListParagraph"/>
        <w:numPr>
          <w:ilvl w:val="0"/>
          <w:numId w:val="10"/>
        </w:numPr>
        <w:spacing w:after="80" w:line="280"/>
      </w:pPr>
      <w:r>
        <w:rPr>
          <w:rFonts w:ascii="Calibri" w:cs="Calibri" w:eastAsia="Calibri" w:hAnsi="Calibri"/>
          <w:b/>
          <w:bCs/>
          <w:sz w:val="22"/>
          <w:szCs w:val="22"/>
        </w:rPr>
        <w:t xml:space="preserve">Kayıt ve yönetim sürecini kurun.</w:t>
      </w:r>
      <w:r>
        <w:rPr>
          <w:rFonts w:ascii="Calibri" w:cs="Calibri" w:eastAsia="Calibri" w:hAnsi="Calibri"/>
          <w:sz w:val="22"/>
          <w:szCs w:val="22"/>
        </w:rPr>
        <w:t xml:space="preserve"> Tüm resmî şikâyetleri ve disiplin işlemlerini yakalayacak bir süreç; küçük kurumlarda basit çalışma sayfaları, büyük kurumlarda gelişmiş çözümler.</w:t>
      </w:r>
    </w:p>
    <w:p>
      <w:pPr>
        <w:pStyle w:val="ListParagraph"/>
        <w:numPr>
          <w:ilvl w:val="0"/>
          <w:numId w:val="10"/>
        </w:numPr>
        <w:spacing w:after="80" w:line="280"/>
      </w:pPr>
      <w:r>
        <w:rPr>
          <w:rFonts w:ascii="Calibri" w:cs="Calibri" w:eastAsia="Calibri" w:hAnsi="Calibri"/>
          <w:b/>
          <w:bCs/>
          <w:sz w:val="22"/>
          <w:szCs w:val="22"/>
        </w:rPr>
        <w:t xml:space="preserve">Hedef uyum düzeyini ve “kayda değer sapma”yı belirleyin,</w:t>
      </w:r>
      <w:r>
        <w:rPr>
          <w:rFonts w:ascii="Calibri" w:cs="Calibri" w:eastAsia="Calibri" w:hAnsi="Calibri"/>
          <w:sz w:val="22"/>
          <w:szCs w:val="22"/>
        </w:rPr>
        <w:t xml:space="preserve"> belgeleyin, güncel tutun ve paydaşlara duyurun.</w:t>
      </w:r>
    </w:p>
    <w:p>
      <w:pPr>
        <w:pStyle w:val="ListParagraph"/>
        <w:numPr>
          <w:ilvl w:val="0"/>
          <w:numId w:val="10"/>
        </w:numPr>
        <w:spacing w:after="80" w:line="280"/>
      </w:pPr>
      <w:r>
        <w:rPr>
          <w:rFonts w:ascii="Calibri" w:cs="Calibri" w:eastAsia="Calibri" w:hAnsi="Calibri"/>
          <w:b/>
          <w:bCs/>
          <w:sz w:val="22"/>
          <w:szCs w:val="22"/>
        </w:rPr>
        <w:t xml:space="preserve">Ölçüm noktasını sabitleyin</w:t>
      </w:r>
      <w:r>
        <w:rPr>
          <w:rFonts w:ascii="Calibri" w:cs="Calibri" w:eastAsia="Calibri" w:hAnsi="Calibri"/>
          <w:sz w:val="22"/>
          <w:szCs w:val="22"/>
        </w:rPr>
        <w:t xml:space="preserve"> ve mali yıl ile bütçe döngüsüne hizalayın.</w:t>
      </w:r>
    </w:p>
    <w:p>
      <w:pPr>
        <w:pStyle w:val="ListParagraph"/>
        <w:numPr>
          <w:ilvl w:val="0"/>
          <w:numId w:val="10"/>
        </w:numPr>
        <w:spacing w:after="80" w:line="280"/>
      </w:pPr>
      <w:r>
        <w:rPr>
          <w:rFonts w:ascii="Calibri" w:cs="Calibri" w:eastAsia="Calibri" w:hAnsi="Calibri"/>
          <w:b/>
          <w:bCs/>
          <w:sz w:val="22"/>
          <w:szCs w:val="22"/>
        </w:rPr>
        <w:t xml:space="preserve">Kategori listesini oluşturun</w:t>
      </w:r>
      <w:r>
        <w:rPr>
          <w:rFonts w:ascii="Calibri" w:cs="Calibri" w:eastAsia="Calibri" w:hAnsi="Calibri"/>
          <w:sz w:val="22"/>
          <w:szCs w:val="22"/>
        </w:rPr>
        <w:t xml:space="preserve"> ve toplu formülü her kategoriye ayrı ayrı uygulayın.</w:t>
      </w:r>
    </w:p>
    <w:p>
      <w:pPr>
        <w:pStyle w:val="ListParagraph"/>
        <w:numPr>
          <w:ilvl w:val="0"/>
          <w:numId w:val="10"/>
        </w:numPr>
        <w:spacing w:after="80" w:line="280"/>
      </w:pPr>
      <w:r>
        <w:rPr>
          <w:rFonts w:ascii="Calibri" w:cs="Calibri" w:eastAsia="Calibri" w:hAnsi="Calibri"/>
          <w:b/>
          <w:bCs/>
          <w:sz w:val="22"/>
          <w:szCs w:val="22"/>
        </w:rPr>
        <w:t xml:space="preserve">Eğitim paketini tanımlayın:</w:t>
      </w:r>
      <w:r>
        <w:rPr>
          <w:rFonts w:ascii="Calibri" w:cs="Calibri" w:eastAsia="Calibri" w:hAnsi="Calibri"/>
          <w:sz w:val="22"/>
          <w:szCs w:val="22"/>
        </w:rPr>
        <w:t xml:space="preserve"> her pozisyon için pakete ne girdiği, tatmin edici tamamlamanın nasıl ölçüleceği ve hedef tamamlama yüzdesi.</w:t>
      </w:r>
    </w:p>
    <w:p>
      <w:pPr>
        <w:pStyle w:val="ListParagraph"/>
        <w:numPr>
          <w:ilvl w:val="0"/>
          <w:numId w:val="10"/>
        </w:numPr>
        <w:spacing w:after="80" w:line="280"/>
      </w:pPr>
      <w:r>
        <w:rPr>
          <w:rFonts w:ascii="Calibri" w:cs="Calibri" w:eastAsia="Calibri" w:hAnsi="Calibri"/>
          <w:b/>
          <w:bCs/>
          <w:sz w:val="22"/>
          <w:szCs w:val="22"/>
        </w:rPr>
        <w:t xml:space="preserve">Süre hedefi koyun.</w:t>
      </w:r>
      <w:r>
        <w:rPr>
          <w:rFonts w:ascii="Calibri" w:cs="Calibri" w:eastAsia="Calibri" w:hAnsi="Calibri"/>
          <w:sz w:val="22"/>
          <w:szCs w:val="22"/>
        </w:rPr>
        <w:t xml:space="preserve"> Uyuma ulaşmak ya da onu sürdürmek ve etik eğitimini tamamlamak için geçen süreye de hedef konur.</w:t>
      </w:r>
    </w:p>
    <w:p>
      <w:pPr>
        <w:pStyle w:val="ListParagraph"/>
        <w:numPr>
          <w:ilvl w:val="0"/>
          <w:numId w:val="10"/>
        </w:numPr>
        <w:spacing w:after="80" w:line="280"/>
      </w:pPr>
      <w:r>
        <w:rPr>
          <w:rFonts w:ascii="Calibri" w:cs="Calibri" w:eastAsia="Calibri" w:hAnsi="Calibri"/>
          <w:b/>
          <w:bCs/>
          <w:sz w:val="22"/>
          <w:szCs w:val="22"/>
        </w:rPr>
        <w:t xml:space="preserve">Bulguları sınıflandırın ve izleyin;</w:t>
      </w:r>
      <w:r>
        <w:rPr>
          <w:rFonts w:ascii="Calibri" w:cs="Calibri" w:eastAsia="Calibri" w:hAnsi="Calibri"/>
          <w:sz w:val="22"/>
          <w:szCs w:val="22"/>
        </w:rPr>
        <w:t xml:space="preserve"> her bulgudan doğan eylemi ve kabul edilmeyen tavsiyeler için gerekçeli yanıtı kayda geçirin.</w:t>
      </w:r>
    </w:p>
    <w:p>
      <w:pPr>
        <w:spacing w:after="140" w:line="288"/>
        <w:jc w:val="left"/>
      </w:pPr>
      <w:r>
        <w:rPr>
          <w:rFonts w:ascii="Calibri" w:cs="Calibri" w:eastAsia="Calibri" w:hAnsi="Calibri"/>
          <w:sz w:val="22"/>
          <w:szCs w:val="22"/>
        </w:rPr>
        <w:t xml:space="preserve">Dokuzuncu bir adım da vardır: Üç–beş yıllık seriyi kurmak ve bağlam açıklamasını sayının yanına eklemek. Standart, karşılaştırma aralığının üç ila beş yıl olmasını ve raporlamanın önceki dönemlerle cari dönemi, geçmiş yıllarla cari yılı birlikte göstermesini ister. Tek bir yılın şikâyet sayısı, hiçbir şey söylemez; beş yıllık bir seri ise eğilimi gösterir.</w:t>
      </w:r>
    </w:p>
    <w:p>
      <w:pPr>
        <w:pStyle w:val="Heading2"/>
        <w:keepNext/>
        <w:spacing w:after="110" w:before="320"/>
      </w:pPr>
      <w:r>
        <w:rPr>
          <w:rFonts w:ascii="Calibri" w:cs="Calibri" w:eastAsia="Calibri" w:hAnsi="Calibri"/>
          <w:b/>
          <w:bCs/>
          <w:sz w:val="27"/>
          <w:szCs w:val="27"/>
        </w:rPr>
        <w:t xml:space="preserve">1.4.7  Hesaplama ve örnekler</w:t>
      </w:r>
    </w:p>
    <w:p>
      <w:pPr>
        <w:spacing w:after="140" w:line="288"/>
        <w:jc w:val="left"/>
      </w:pPr>
      <w:r>
        <w:rPr>
          <w:rFonts w:ascii="Calibri" w:cs="Calibri" w:eastAsia="Calibri" w:hAnsi="Calibri"/>
          <w:sz w:val="22"/>
          <w:szCs w:val="22"/>
        </w:rPr>
        <w:t xml:space="preserve">Rehber sayfası, kümenin hesaplanabilir metriklerini bir hesaplayıcıya ve Python modülüne (iso30423_metrikler.py) dönüştürür. Birikim, hareket ve oran mantıklarına ek olarak, standardın yorumunu kolaylaştıran birkaç türetilmiş hesap sunulur.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938"/>
        <w:gridCol w:w="2800"/>
      </w:tblGrid>
      <w:tr>
        <w:trPr>
          <w:cantSplit/>
          <w:tblHeader/>
        </w:trPr>
        <w:tc>
          <w:tcPr>
            <w:tcW w:type="dxa" w:w="2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Hesap</w:t>
            </w:r>
          </w:p>
        </w:tc>
        <w:tc>
          <w:tcPr>
            <w:tcW w:type="dxa" w:w="39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Formül</w:t>
            </w:r>
          </w:p>
        </w:tc>
        <w:tc>
          <w:tcPr>
            <w:tcW w:type="dxa" w:w="2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gösterir?</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Kümülatif toplam</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Dönem toplamı = A₁ + A₂ + … + Aₙ</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 başından itibaren biriken sayım</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Sonuçlandırılan disiplin işlemleri</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Açılış bakiyesi + eklenen − kapanış bakiyesi</w:t>
            </w:r>
          </w:p>
        </w:tc>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Dönemde kapanan dosyalar</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Dış taraflarca sonuçlandırılan</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Açılış + havale − geri çekilen − kapanış</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Dış sürecin sonucu</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Eğitim tamamlama oranı</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(Tamamlayan ÷ tamamlaması gereken) × 100</w:t>
            </w:r>
          </w:p>
        </w:tc>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Program kapsamı</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Süre içinde tamamlama</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(Süre içinde tamamlayan ÷ tamamlaması gereken) × 100</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Sürecin aksayıp aksamadığı</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TZE oranı</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(Vaka sayısı ÷ tam zaman eşdeğeri) × 100</w:t>
            </w:r>
          </w:p>
        </w:tc>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Kadro büyüklüğüne göre düzeltilmiş vaka yükü</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İç çözüm oranı</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(İçeride çözülen ÷ toplam çözülen) × 100</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Kurumun uzlaşma kapasitesi</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Kategori payı</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(Kategorideki vaka ÷ toplam vaka) × 100</w:t>
            </w:r>
          </w:p>
        </w:tc>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Vakaların dağılımı</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Yıllık değişim</w:t>
            </w:r>
          </w:p>
        </w:tc>
        <w:tc>
          <w:tcPr>
            <w:tcW w:type="dxa" w:w="3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((Cari − önceki) ÷ önceki) × 100</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Eğilimin yönü</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Şikâyetsiz gün</w:t>
            </w:r>
          </w:p>
        </w:tc>
        <w:tc>
          <w:tcPr>
            <w:tcW w:type="dxa" w:w="3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Dönemdeki toplam gün − şikâyet kaydedilen gün</w:t>
            </w:r>
          </w:p>
        </w:tc>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İyileşmenin olumlu raporlama biçimi</w:t>
            </w:r>
          </w:p>
        </w:tc>
      </w:tr>
    </w:tbl>
    <w:p>
      <w:pPr>
        <w:spacing w:after="140"/>
      </w:pPr>
    </w:p>
    <w:p>
      <w:pPr>
        <w:spacing w:after="140" w:line="288"/>
        <w:jc w:val="left"/>
      </w:pPr>
      <w:r>
        <w:rPr>
          <w:rFonts w:ascii="Calibri" w:cs="Calibri" w:eastAsia="Calibri" w:hAnsi="Calibri"/>
          <w:sz w:val="22"/>
          <w:szCs w:val="22"/>
        </w:rPr>
        <w:t xml:space="preserve">Ek C’deki yapay kurumda, zorunlu eğitimler (İSG ve uyum-etik) için tamamlama oranı %96,8’dir; bu, standardın “tamamlama” tanımına uygun biçimde yalnızca eğitimi tamamlayan çalışanlar sayılarak elde edilmiştir. Yüksek bir oran gibi görünür; ancak 478 çalışanlık bir kurumda %3,2’lik fark yaklaşık 15 kişiyi ifade eder ve zorunlu uyum eğitiminde bu kişilerin kim olduğu ayrıca incelenmelidir. Süre içinde tamamlama oranı ise genel tamamlama oranından düşük olabilir; örneğin eğitim 90 gün içinde zorunluysa ve çalışanların bir kısmı 150. günde tamamlıyorsa genel oran %97 iken süre içinde tamamlama %82 çıkabilir. Bu fark, sürecin aksadığını gösterir.</w:t>
      </w:r>
    </w:p>
    <w:p>
      <w:pPr>
        <w:pStyle w:val="Heading2"/>
        <w:keepNext/>
        <w:spacing w:after="110" w:before="320"/>
      </w:pPr>
      <w:r>
        <w:rPr>
          <w:rFonts w:ascii="Calibri" w:cs="Calibri" w:eastAsia="Calibri" w:hAnsi="Calibri"/>
          <w:b/>
          <w:bCs/>
          <w:sz w:val="27"/>
          <w:szCs w:val="27"/>
        </w:rPr>
        <w:t xml:space="preserve">1.4.8  Yorum: artış her zaman kötü haber değildir</w:t>
      </w:r>
    </w:p>
    <w:p>
      <w:pPr>
        <w:spacing w:after="140" w:line="288"/>
        <w:jc w:val="left"/>
      </w:pPr>
      <w:r>
        <w:rPr>
          <w:rFonts w:ascii="Calibri" w:cs="Calibri" w:eastAsia="Calibri" w:hAnsi="Calibri"/>
          <w:sz w:val="22"/>
          <w:szCs w:val="22"/>
        </w:rPr>
        <w:t xml:space="preserve">Uyum ve etik metriklerinin yorumu, diğer kümelerden daha ince bir okuma gerektirir; çünkü bir sayının artışı ya da azalışı, birbirine zıt iki hikâyenin ürünü olabilir. Rehber sayfası şu yorum ilkelerini sıralar:</w:t>
      </w:r>
    </w:p>
    <w:p>
      <w:pPr>
        <w:pStyle w:val="ListParagraph"/>
        <w:numPr>
          <w:ilvl w:val="0"/>
          <w:numId w:val="2"/>
        </w:numPr>
        <w:spacing w:after="80" w:line="280"/>
      </w:pPr>
      <w:r>
        <w:rPr>
          <w:rFonts w:ascii="Calibri" w:cs="Calibri" w:eastAsia="Calibri" w:hAnsi="Calibri"/>
          <w:b/>
          <w:bCs/>
          <w:sz w:val="22"/>
          <w:szCs w:val="22"/>
        </w:rPr>
        <w:t xml:space="preserve">Artış her zaman kötüleşme değildir.</w:t>
      </w:r>
      <w:r>
        <w:rPr>
          <w:rFonts w:ascii="Calibri" w:cs="Calibri" w:eastAsia="Calibri" w:hAnsi="Calibri"/>
          <w:sz w:val="22"/>
          <w:szCs w:val="22"/>
        </w:rPr>
        <w:t xml:space="preserve"> Standardın kendi örneğinde doğrudan ayrımcılık ve fiziksel saldırı şikâyetleri belirgin biçimde düşerken sözlü saldırı ve dolaylı ayrımcılık yükselir; bunun nedeni, işgücünün bu iki konunun tanımına dair farkındalığının artması olabilir. İlk bakıştaki sayı durumun kapsamlı bir değerlendirmesi değildir.</w:t>
      </w:r>
    </w:p>
    <w:p>
      <w:pPr>
        <w:pStyle w:val="ListParagraph"/>
        <w:numPr>
          <w:ilvl w:val="0"/>
          <w:numId w:val="2"/>
        </w:numPr>
        <w:spacing w:after="80" w:line="280"/>
      </w:pPr>
      <w:r>
        <w:rPr>
          <w:rFonts w:ascii="Calibri" w:cs="Calibri" w:eastAsia="Calibri" w:hAnsi="Calibri"/>
          <w:b/>
          <w:bCs/>
          <w:sz w:val="22"/>
          <w:szCs w:val="22"/>
        </w:rPr>
        <w:t xml:space="preserve">İçeride çözülen payın artması olumlu bir eğilimdir.</w:t>
      </w:r>
      <w:r>
        <w:rPr>
          <w:rFonts w:ascii="Calibri" w:cs="Calibri" w:eastAsia="Calibri" w:hAnsi="Calibri"/>
          <w:sz w:val="22"/>
          <w:szCs w:val="22"/>
        </w:rPr>
        <w:t xml:space="preserve"> Şikâyetleri içeride ve dışarıda çözülenler olarak ayırmak, uzlaşma kapasitesini görünür kılar.</w:t>
      </w:r>
    </w:p>
    <w:p>
      <w:pPr>
        <w:pStyle w:val="ListParagraph"/>
        <w:numPr>
          <w:ilvl w:val="0"/>
          <w:numId w:val="2"/>
        </w:numPr>
        <w:spacing w:after="80" w:line="280"/>
      </w:pPr>
      <w:r>
        <w:rPr>
          <w:rFonts w:ascii="Calibri" w:cs="Calibri" w:eastAsia="Calibri" w:hAnsi="Calibri"/>
          <w:b/>
          <w:bCs/>
          <w:sz w:val="22"/>
          <w:szCs w:val="22"/>
        </w:rPr>
        <w:t xml:space="preserve">Disiplin işlemlerindeki artışın iki okuması vardır:</w:t>
      </w:r>
      <w:r>
        <w:rPr>
          <w:rFonts w:ascii="Calibri" w:cs="Calibri" w:eastAsia="Calibri" w:hAnsi="Calibri"/>
          <w:sz w:val="22"/>
          <w:szCs w:val="22"/>
        </w:rPr>
        <w:t xml:space="preserve"> İşgücündeki gerilimin artması ya da birikmiş dosyaları temizlemeye ve uyuşmazlıkları hızla sonuçlandırmaya yönelik kayda değer bir çaba. Kadro büyümesi de aynı sonucu üretebilir.</w:t>
      </w:r>
    </w:p>
    <w:p>
      <w:pPr>
        <w:pStyle w:val="ListParagraph"/>
        <w:numPr>
          <w:ilvl w:val="0"/>
          <w:numId w:val="2"/>
        </w:numPr>
        <w:spacing w:after="80" w:line="280"/>
      </w:pPr>
      <w:r>
        <w:rPr>
          <w:rFonts w:ascii="Calibri" w:cs="Calibri" w:eastAsia="Calibri" w:hAnsi="Calibri"/>
          <w:b/>
          <w:bCs/>
          <w:sz w:val="22"/>
          <w:szCs w:val="22"/>
        </w:rPr>
        <w:t xml:space="preserve">Sayıyı kadroya oranlayın.</w:t>
      </w:r>
      <w:r>
        <w:rPr>
          <w:rFonts w:ascii="Calibri" w:cs="Calibri" w:eastAsia="Calibri" w:hAnsi="Calibri"/>
          <w:sz w:val="22"/>
          <w:szCs w:val="22"/>
        </w:rPr>
        <w:t xml:space="preserve"> Sabit kalan uyuşmazlık sayısı, kadro büyüdükçe azalmış sayılır.</w:t>
      </w:r>
    </w:p>
    <w:p>
      <w:pPr>
        <w:pStyle w:val="ListParagraph"/>
        <w:numPr>
          <w:ilvl w:val="0"/>
          <w:numId w:val="2"/>
        </w:numPr>
        <w:spacing w:after="80" w:line="280"/>
      </w:pPr>
      <w:r>
        <w:rPr>
          <w:rFonts w:ascii="Calibri" w:cs="Calibri" w:eastAsia="Calibri" w:hAnsi="Calibri"/>
          <w:b/>
          <w:bCs/>
          <w:sz w:val="22"/>
          <w:szCs w:val="22"/>
        </w:rPr>
        <w:t xml:space="preserve">Süre içinde tamamlanma ayrı bir göstergedir.</w:t>
      </w:r>
      <w:r>
        <w:rPr>
          <w:rFonts w:ascii="Calibri" w:cs="Calibri" w:eastAsia="Calibri" w:hAnsi="Calibri"/>
          <w:sz w:val="22"/>
          <w:szCs w:val="22"/>
        </w:rPr>
        <w:t xml:space="preserve"> Genel tamamlama oranı yüksek olsa da süre içinde tamamlanan pay düşükse süreç aksıyor demektir.</w:t>
      </w:r>
    </w:p>
    <w:p>
      <w:pPr>
        <w:pStyle w:val="ListParagraph"/>
        <w:numPr>
          <w:ilvl w:val="0"/>
          <w:numId w:val="2"/>
        </w:numPr>
        <w:spacing w:after="80" w:line="280"/>
      </w:pPr>
      <w:r>
        <w:rPr>
          <w:rFonts w:ascii="Calibri" w:cs="Calibri" w:eastAsia="Calibri" w:hAnsi="Calibri"/>
          <w:b/>
          <w:bCs/>
          <w:sz w:val="22"/>
          <w:szCs w:val="22"/>
        </w:rPr>
        <w:t xml:space="preserve">Dış bulgularda sonuç kadar eylem önemlidir.</w:t>
      </w:r>
      <w:r>
        <w:rPr>
          <w:rFonts w:ascii="Calibri" w:cs="Calibri" w:eastAsia="Calibri" w:hAnsi="Calibri"/>
          <w:sz w:val="22"/>
          <w:szCs w:val="22"/>
        </w:rPr>
        <w:t xml:space="preserve"> Standardın örnek tablosunda her bulgu türü için alınan eylem de kaydedilir: hat yöneticisine danışmanlık ve eğitim verilmesi, sözleşmelerin gözden geçirilmesi, yönetim eğitimi ve mentorluk programı, yoğun iş sağlığı ve güvenliği eğitimi ya da “eylem yok”.</w:t>
      </w:r>
    </w:p>
    <w:p>
      <w:pPr>
        <w:pStyle w:val="ListParagraph"/>
        <w:numPr>
          <w:ilvl w:val="0"/>
          <w:numId w:val="2"/>
        </w:numPr>
        <w:spacing w:after="80" w:line="280"/>
      </w:pPr>
      <w:r>
        <w:rPr>
          <w:rFonts w:ascii="Calibri" w:cs="Calibri" w:eastAsia="Calibri" w:hAnsi="Calibri"/>
          <w:b/>
          <w:bCs/>
          <w:sz w:val="22"/>
          <w:szCs w:val="22"/>
        </w:rPr>
        <w:t xml:space="preserve">İyileşme, olayın yokluğuyla da raporlanabilir:</w:t>
      </w:r>
      <w:r>
        <w:rPr>
          <w:rFonts w:ascii="Calibri" w:cs="Calibri" w:eastAsia="Calibri" w:hAnsi="Calibri"/>
          <w:sz w:val="22"/>
          <w:szCs w:val="22"/>
        </w:rPr>
        <w:t xml:space="preserve"> Son şikâyetten bu yana geçen gün sayısı ya da şikâyetsiz gün sayısı.</w:t>
      </w:r>
    </w:p>
    <w:p>
      <w:pPr>
        <w:spacing w:after="140" w:line="288"/>
        <w:jc w:val="left"/>
      </w:pPr>
      <w:r>
        <w:rPr>
          <w:rFonts w:ascii="Calibri" w:cs="Calibri" w:eastAsia="Calibri" w:hAnsi="Calibri"/>
          <w:sz w:val="22"/>
          <w:szCs w:val="22"/>
        </w:rPr>
        <w:t xml:space="preserve">Bu ilkelerin en önemlisi ilkidir ve bölüm 0.3’te anlatılan bağlam ilkesinin en güçlü örneğidir. Düşük bir şikâyet sayısı “mükemmel bir iş ortamı”nın değil, çalışanların şikâyet etmekten çekindiği bir ortamın da göstergesi olabilir. Bildirimin önündeki engeller, misilleme korkusu ya da kuruma güven eksikliği de sayıyı düşürür. Bu nedenle bir şikâyet sayısı, mutlaka bağımsız bir sinyalle, örneğin bağlılık anketindeki güvenlik hissi ya da “konuşabilirim” maddeleriyle birlikte okunmalıdır. Standardın farkındalık artışı vurgusu, bu ilişkinin tersten okunmasına da işaret eder: Eğitim ve iletişim arttıkça şikâyet sayısı artabilir ve bu, programın çalıştığının işaretidir.</w:t>
      </w:r>
    </w:p>
    <w:p>
      <w:pPr>
        <w:pStyle w:val="Heading2"/>
        <w:keepNext/>
        <w:spacing w:after="110" w:before="320"/>
      </w:pPr>
      <w:r>
        <w:rPr>
          <w:rFonts w:ascii="Calibri" w:cs="Calibri" w:eastAsia="Calibri" w:hAnsi="Calibri"/>
          <w:b/>
          <w:bCs/>
          <w:sz w:val="27"/>
          <w:szCs w:val="27"/>
        </w:rPr>
        <w:t xml:space="preserve">1.4.9  Sınırlamalar</w:t>
      </w:r>
    </w:p>
    <w:p>
      <w:pPr>
        <w:pStyle w:val="ListParagraph"/>
        <w:numPr>
          <w:ilvl w:val="0"/>
          <w:numId w:val="2"/>
        </w:numPr>
        <w:spacing w:after="80" w:line="280"/>
      </w:pPr>
      <w:r>
        <w:rPr>
          <w:rFonts w:ascii="Calibri" w:cs="Calibri" w:eastAsia="Calibri" w:hAnsi="Calibri"/>
          <w:b/>
          <w:bCs/>
          <w:sz w:val="22"/>
          <w:szCs w:val="22"/>
        </w:rPr>
        <w:t xml:space="preserve">Standardın yayımlanmış tablolarında sayısal tutarsızlıklar vardır.</w:t>
      </w:r>
      <w:r>
        <w:rPr>
          <w:rFonts w:ascii="Calibri" w:cs="Calibri" w:eastAsia="Calibri" w:hAnsi="Calibri"/>
          <w:sz w:val="22"/>
          <w:szCs w:val="22"/>
        </w:rPr>
        <w:t xml:space="preserve"> Rehber sayfası, şikâyet türlerinin karşılaştırmalı tablosunda 2020’nin ilk altı ayına ait kategori toplamının 22 çıktığını, aynı dönemin içeride/dışarıda çözüm tablosunun toplamının ise 32 (26 + 6) olduğunu ve disiplin işlemleri hareket tablosunda açılış bakiyeleri ile bir önceki ayın kapanış bakiyelerinin birbirini takip etmediğini belirtir. Rehber sayfasındaki örnek tablo, kendi içinde tutarlı bir veri kümesiyle kurulmuştur.</w:t>
      </w:r>
    </w:p>
    <w:p>
      <w:pPr>
        <w:pStyle w:val="ListParagraph"/>
        <w:numPr>
          <w:ilvl w:val="0"/>
          <w:numId w:val="2"/>
        </w:numPr>
        <w:spacing w:after="80" w:line="280"/>
      </w:pPr>
      <w:r>
        <w:rPr>
          <w:rFonts w:ascii="Calibri" w:cs="Calibri" w:eastAsia="Calibri" w:hAnsi="Calibri"/>
          <w:b/>
          <w:bCs/>
          <w:sz w:val="22"/>
          <w:szCs w:val="22"/>
        </w:rPr>
        <w:t xml:space="preserve">Metrikler tanım bağımlıdır.</w:t>
      </w:r>
      <w:r>
        <w:rPr>
          <w:rFonts w:ascii="Calibri" w:cs="Calibri" w:eastAsia="Calibri" w:hAnsi="Calibri"/>
          <w:sz w:val="22"/>
          <w:szCs w:val="22"/>
        </w:rPr>
        <w:t xml:space="preserve"> “Şikâyet” ve “disiplin işlemi” tanımı kurumdan kuruma değiştiğinden, tanımlar açıklanmadan kurumlar arası kıyaslama anlamsızdır.</w:t>
      </w:r>
    </w:p>
    <w:p>
      <w:pPr>
        <w:pStyle w:val="ListParagraph"/>
        <w:numPr>
          <w:ilvl w:val="0"/>
          <w:numId w:val="2"/>
        </w:numPr>
        <w:spacing w:after="80" w:line="280"/>
      </w:pPr>
      <w:r>
        <w:rPr>
          <w:rFonts w:ascii="Calibri" w:cs="Calibri" w:eastAsia="Calibri" w:hAnsi="Calibri"/>
          <w:b/>
          <w:bCs/>
          <w:sz w:val="22"/>
          <w:szCs w:val="22"/>
        </w:rPr>
        <w:t xml:space="preserve">Sektör ve büyüklük yorumu doğrudan etkiler;</w:t>
      </w:r>
      <w:r>
        <w:rPr>
          <w:rFonts w:ascii="Calibri" w:cs="Calibri" w:eastAsia="Calibri" w:hAnsi="Calibri"/>
          <w:sz w:val="22"/>
          <w:szCs w:val="22"/>
        </w:rPr>
        <w:t xml:space="preserve"> hedef uyum düzeyi ve kayda değer sapma eşiği bu yüzden kurumca belirlenir.</w:t>
      </w:r>
    </w:p>
    <w:p>
      <w:pPr>
        <w:pStyle w:val="ListParagraph"/>
        <w:numPr>
          <w:ilvl w:val="0"/>
          <w:numId w:val="2"/>
        </w:numPr>
        <w:spacing w:after="80" w:line="280"/>
      </w:pPr>
      <w:r>
        <w:rPr>
          <w:rFonts w:ascii="Calibri" w:cs="Calibri" w:eastAsia="Calibri" w:hAnsi="Calibri"/>
          <w:b/>
          <w:bCs/>
          <w:sz w:val="22"/>
          <w:szCs w:val="22"/>
        </w:rPr>
        <w:t xml:space="preserve">Sayım ağırlık taşımaz.</w:t>
      </w:r>
      <w:r>
        <w:rPr>
          <w:rFonts w:ascii="Calibri" w:cs="Calibri" w:eastAsia="Calibri" w:hAnsi="Calibri"/>
          <w:sz w:val="22"/>
          <w:szCs w:val="22"/>
        </w:rPr>
        <w:t xml:space="preserve"> Bir fiziksel saldırı vakası ile bir usul ihlali aynı hanede toplanır; ciddiyet ayrımı yapmak isteyen kurum bunu kendi kategori tasarımıyla kurmalıdır.</w:t>
      </w:r>
    </w:p>
    <w:p>
      <w:pPr>
        <w:pStyle w:val="ListParagraph"/>
        <w:numPr>
          <w:ilvl w:val="0"/>
          <w:numId w:val="2"/>
        </w:numPr>
        <w:spacing w:after="80" w:line="280"/>
      </w:pPr>
      <w:r>
        <w:rPr>
          <w:rFonts w:ascii="Calibri" w:cs="Calibri" w:eastAsia="Calibri" w:hAnsi="Calibri"/>
          <w:b/>
          <w:bCs/>
          <w:sz w:val="22"/>
          <w:szCs w:val="22"/>
        </w:rPr>
        <w:t xml:space="preserve">Düşük sayı iyi iklim anlamına gelmeyebilir.</w:t>
      </w:r>
    </w:p>
    <w:p>
      <w:pPr>
        <w:pStyle w:val="ListParagraph"/>
        <w:numPr>
          <w:ilvl w:val="0"/>
          <w:numId w:val="2"/>
        </w:numPr>
        <w:spacing w:after="80" w:line="280"/>
      </w:pPr>
      <w:r>
        <w:rPr>
          <w:rFonts w:ascii="Calibri" w:cs="Calibri" w:eastAsia="Calibri" w:hAnsi="Calibri"/>
          <w:b/>
          <w:bCs/>
          <w:sz w:val="22"/>
          <w:szCs w:val="22"/>
        </w:rPr>
        <w:t xml:space="preserve">Metriklerin tümü dış kullanım için tasarlanmamıştır;</w:t>
      </w:r>
      <w:r>
        <w:rPr>
          <w:rFonts w:ascii="Calibri" w:cs="Calibri" w:eastAsia="Calibri" w:hAnsi="Calibri"/>
          <w:sz w:val="22"/>
          <w:szCs w:val="22"/>
        </w:rPr>
        <w:t xml:space="preserve"> hangisinin dışarıya açıklanacağı insan sermayesi raporlaması çerçevesine göre belirlenir.</w:t>
      </w:r>
    </w:p>
    <w:p>
      <w:pPr>
        <w:pStyle w:val="ListParagraph"/>
        <w:numPr>
          <w:ilvl w:val="0"/>
          <w:numId w:val="2"/>
        </w:numPr>
        <w:spacing w:after="80" w:line="280"/>
      </w:pPr>
      <w:r>
        <w:rPr>
          <w:rFonts w:ascii="Calibri" w:cs="Calibri" w:eastAsia="Calibri" w:hAnsi="Calibri"/>
          <w:b/>
          <w:bCs/>
          <w:sz w:val="22"/>
          <w:szCs w:val="22"/>
        </w:rPr>
        <w:t xml:space="preserve">Hareket hesabı ölçüm noktasına duyarlıdır.</w:t>
      </w:r>
      <w:r>
        <w:rPr>
          <w:rFonts w:ascii="Calibri" w:cs="Calibri" w:eastAsia="Calibri" w:hAnsi="Calibri"/>
          <w:sz w:val="22"/>
          <w:szCs w:val="22"/>
        </w:rPr>
        <w:t xml:space="preserve"> Standardın örneğinde ölçüm noktası ayın ilk günüdür; başka bir nokta seçilirse seri kırılır.</w:t>
      </w:r>
    </w:p>
    <w:p>
      <w:pPr>
        <w:pStyle w:val="Heading2"/>
        <w:keepNext/>
        <w:spacing w:after="110" w:before="320"/>
      </w:pPr>
      <w:r>
        <w:rPr>
          <w:rFonts w:ascii="Calibri" w:cs="Calibri" w:eastAsia="Calibri" w:hAnsi="Calibri"/>
          <w:b/>
          <w:bCs/>
          <w:sz w:val="27"/>
          <w:szCs w:val="27"/>
        </w:rPr>
        <w:t xml:space="preserve">1.4.10  Raporlama, gizlilik ve etik</w:t>
      </w:r>
    </w:p>
    <w:p>
      <w:pPr>
        <w:spacing w:after="140" w:line="288"/>
        <w:jc w:val="left"/>
      </w:pPr>
      <w:r>
        <w:rPr>
          <w:rFonts w:ascii="Calibri" w:cs="Calibri" w:eastAsia="Calibri" w:hAnsi="Calibri"/>
          <w:sz w:val="22"/>
          <w:szCs w:val="22"/>
        </w:rPr>
        <w:t xml:space="preserve">Uyum ve etik panosu alıcıya göre farklılaşır: Yönetim kurulu ve üst yönetim beş metriğin üç–beş yıllık eğilimini ve dış bulgulardan doğan eylemleri (dönemsel pano); İK hizmet birimleri kategori kırılımlarını ve eğitim süre uyumunu (aylık ya da çeyreklik rapor); hat yönetimi kendi biriminin sayılarını; finans ve hukuk dış uyuşmazlıkların mali sonucunu; dış paydaşlar ise yalnızca açıklanmak üzere belirlenmiş toplu göstergeleri ve yöntem notunu bekler.</w:t>
      </w:r>
    </w:p>
    <w:p>
      <w:pPr>
        <w:spacing w:after="140" w:line="288"/>
        <w:jc w:val="left"/>
      </w:pPr>
      <w:r>
        <w:rPr>
          <w:rFonts w:ascii="Calibri" w:cs="Calibri" w:eastAsia="Calibri" w:hAnsi="Calibri"/>
          <w:sz w:val="22"/>
          <w:szCs w:val="22"/>
        </w:rPr>
        <w:t xml:space="preserve">Her raporda şunlar bulunmalıdır: şikâyet ve disiplin işlemi tanımı, bir şikâyetin resmî sayıldığı an, kategori listesi, ölçüm noktası, hedef uyum düzeyi ve kayda değer sapma eşiği, karşılaştırma tabanı ve bağlam notu. Dış bulgularda kaynak, bulgu ve alınan eylem birlikte verilir; kurum bir tavsiyeyi kabul etmiyorsa gerekçesi açıkça yazılır. Bu son kural, hesap verebilirlik ilkesinin (1.2) somut bir uygulamasıdır.</w:t>
      </w:r>
    </w:p>
    <w:p>
      <w:pPr>
        <w:spacing w:after="140" w:line="288"/>
        <w:jc w:val="left"/>
      </w:pPr>
      <w:r>
        <w:rPr>
          <w:rFonts w:ascii="Calibri" w:cs="Calibri" w:eastAsia="Calibri" w:hAnsi="Calibri"/>
          <w:sz w:val="22"/>
          <w:szCs w:val="22"/>
        </w:rPr>
        <w:t xml:space="preserve">Bu verilerin gizliliği, özel bir dikkat gerektirir. Şikâyet ve disiplin kayıtları, kişisel verinin en hassas türlerindendir. Küçük birimlerde kategori kırılımı, şikâyet edenin ya da hakkında şikâyet edilenin kimliğini ele verebilir; bu yüzden küçük gruplarda ayrıştırma yapılmamalı ya da birimler birleştirilmelidir. Kayıtlara erişim yetkiyle sınırlanmalı, kişisel verilerin korunmasına ilişkin mevzuata uyulmalıdır. Raporlama, şikâyet edenleri korumak zorundadır: Sayı raporlamak, kimseyi tanınabilir kılmamalıdır. Bunun yanında, şikâyet mekanizmasının güvenilir olması (misillemeye karşı koruma, gizlilik, tarafsız soruşturma) metriklerin anlamlı olmasının ön koşuludur; çalışanlar mekanizmaya güvenmiyorsa, sayılar gerçeği yansıtmaz.</w:t>
      </w:r>
    </w:p>
    <w:p>
      <w:pPr>
        <w:pStyle w:val="Heading3"/>
        <w:keepNext/>
        <w:spacing w:after="80" w:before="220"/>
      </w:pPr>
      <w:r>
        <w:rPr>
          <w:rFonts w:ascii="Calibri" w:cs="Calibri" w:eastAsia="Calibri" w:hAnsi="Calibri"/>
          <w:b/>
          <w:bCs/>
          <w:color w:val="0B5C8A"/>
          <w:sz w:val="23"/>
          <w:szCs w:val="23"/>
        </w:rPr>
        <w:t xml:space="preserve">Uygulama kontrol listesi</w:t>
      </w:r>
    </w:p>
    <w:p>
      <w:pPr>
        <w:pStyle w:val="ListParagraph"/>
        <w:numPr>
          <w:ilvl w:val="0"/>
          <w:numId w:val="11"/>
        </w:numPr>
        <w:spacing w:after="80" w:line="280"/>
      </w:pPr>
      <w:r>
        <w:rPr>
          <w:rFonts w:ascii="Calibri" w:cs="Calibri" w:eastAsia="Calibri" w:hAnsi="Calibri"/>
          <w:sz w:val="22"/>
          <w:szCs w:val="22"/>
        </w:rPr>
        <w:t xml:space="preserve">“Şikâyet” ve “disiplin işlemi” tanımları yazıldı; resmî sayılma anı belirlendi.</w:t>
      </w:r>
    </w:p>
    <w:p>
      <w:pPr>
        <w:pStyle w:val="ListParagraph"/>
        <w:numPr>
          <w:ilvl w:val="0"/>
          <w:numId w:val="11"/>
        </w:numPr>
        <w:spacing w:after="80" w:line="280"/>
      </w:pPr>
      <w:r>
        <w:rPr>
          <w:rFonts w:ascii="Calibri" w:cs="Calibri" w:eastAsia="Calibri" w:hAnsi="Calibri"/>
          <w:sz w:val="22"/>
          <w:szCs w:val="22"/>
        </w:rPr>
        <w:t xml:space="preserve">Kayıt ve yönetim süreci (kim, nereye, nasıl kaydeder) kuruldu.</w:t>
      </w:r>
    </w:p>
    <w:p>
      <w:pPr>
        <w:pStyle w:val="ListParagraph"/>
        <w:numPr>
          <w:ilvl w:val="0"/>
          <w:numId w:val="11"/>
        </w:numPr>
        <w:spacing w:after="80" w:line="280"/>
      </w:pPr>
      <w:r>
        <w:rPr>
          <w:rFonts w:ascii="Calibri" w:cs="Calibri" w:eastAsia="Calibri" w:hAnsi="Calibri"/>
          <w:sz w:val="22"/>
          <w:szCs w:val="22"/>
        </w:rPr>
        <w:t xml:space="preserve">Hedef uyum düzeyi ve kayda değer sapma eşiği belgelendi.</w:t>
      </w:r>
    </w:p>
    <w:p>
      <w:pPr>
        <w:pStyle w:val="ListParagraph"/>
        <w:numPr>
          <w:ilvl w:val="0"/>
          <w:numId w:val="11"/>
        </w:numPr>
        <w:spacing w:after="80" w:line="280"/>
      </w:pPr>
      <w:r>
        <w:rPr>
          <w:rFonts w:ascii="Calibri" w:cs="Calibri" w:eastAsia="Calibri" w:hAnsi="Calibri"/>
          <w:sz w:val="22"/>
          <w:szCs w:val="22"/>
        </w:rPr>
        <w:t xml:space="preserve">Ölçüm noktası sabitlendi; mali yıl ile hizalandı.</w:t>
      </w:r>
    </w:p>
    <w:p>
      <w:pPr>
        <w:pStyle w:val="ListParagraph"/>
        <w:numPr>
          <w:ilvl w:val="0"/>
          <w:numId w:val="11"/>
        </w:numPr>
        <w:spacing w:after="80" w:line="280"/>
      </w:pPr>
      <w:r>
        <w:rPr>
          <w:rFonts w:ascii="Calibri" w:cs="Calibri" w:eastAsia="Calibri" w:hAnsi="Calibri"/>
          <w:sz w:val="22"/>
          <w:szCs w:val="22"/>
        </w:rPr>
        <w:t xml:space="preserve">Kategori listesi oluşturuldu; toplu formül her kategoriye uygulandı.</w:t>
      </w:r>
    </w:p>
    <w:p>
      <w:pPr>
        <w:pStyle w:val="ListParagraph"/>
        <w:numPr>
          <w:ilvl w:val="0"/>
          <w:numId w:val="11"/>
        </w:numPr>
        <w:spacing w:after="80" w:line="280"/>
      </w:pPr>
      <w:r>
        <w:rPr>
          <w:rFonts w:ascii="Calibri" w:cs="Calibri" w:eastAsia="Calibri" w:hAnsi="Calibri"/>
          <w:sz w:val="22"/>
          <w:szCs w:val="22"/>
        </w:rPr>
        <w:t xml:space="preserve">Hareket hesabında açılış/kapanış bakiyeleri birbirini takip ediyor.</w:t>
      </w:r>
    </w:p>
    <w:p>
      <w:pPr>
        <w:pStyle w:val="ListParagraph"/>
        <w:numPr>
          <w:ilvl w:val="0"/>
          <w:numId w:val="11"/>
        </w:numPr>
        <w:spacing w:after="80" w:line="280"/>
      </w:pPr>
      <w:r>
        <w:rPr>
          <w:rFonts w:ascii="Calibri" w:cs="Calibri" w:eastAsia="Calibri" w:hAnsi="Calibri"/>
          <w:sz w:val="22"/>
          <w:szCs w:val="22"/>
        </w:rPr>
        <w:t xml:space="preserve">Eğitim paketi, tamamlama ölçütü ve süre hedefi tanımlandı.</w:t>
      </w:r>
    </w:p>
    <w:p>
      <w:pPr>
        <w:pStyle w:val="ListParagraph"/>
        <w:numPr>
          <w:ilvl w:val="0"/>
          <w:numId w:val="11"/>
        </w:numPr>
        <w:spacing w:after="80" w:line="280"/>
      </w:pPr>
      <w:r>
        <w:rPr>
          <w:rFonts w:ascii="Calibri" w:cs="Calibri" w:eastAsia="Calibri" w:hAnsi="Calibri"/>
          <w:sz w:val="22"/>
          <w:szCs w:val="22"/>
        </w:rPr>
        <w:t xml:space="preserve">Dış bulgular için kaynak, bulgu, eylem ve (gerekirse) kabul edilmeme gerekçesi kayda geçirildi.</w:t>
      </w:r>
    </w:p>
    <w:p>
      <w:pPr>
        <w:pStyle w:val="ListParagraph"/>
        <w:numPr>
          <w:ilvl w:val="0"/>
          <w:numId w:val="11"/>
        </w:numPr>
        <w:spacing w:after="80" w:line="280"/>
      </w:pPr>
      <w:r>
        <w:rPr>
          <w:rFonts w:ascii="Calibri" w:cs="Calibri" w:eastAsia="Calibri" w:hAnsi="Calibri"/>
          <w:sz w:val="22"/>
          <w:szCs w:val="22"/>
        </w:rPr>
        <w:t xml:space="preserve">Üç–beş yıllık seri ve bağlam notu raporda yer alıyor.</w:t>
      </w:r>
    </w:p>
    <w:p>
      <w:pPr>
        <w:pStyle w:val="ListParagraph"/>
        <w:numPr>
          <w:ilvl w:val="0"/>
          <w:numId w:val="11"/>
        </w:numPr>
        <w:spacing w:after="80" w:line="280"/>
      </w:pPr>
      <w:r>
        <w:rPr>
          <w:rFonts w:ascii="Calibri" w:cs="Calibri" w:eastAsia="Calibri" w:hAnsi="Calibri"/>
          <w:sz w:val="22"/>
          <w:szCs w:val="22"/>
        </w:rPr>
        <w:t xml:space="preserve">Gizlilik ve erişim yetkileri kontrol edildi; küçük gruplarda ayrıştırma yapılmadı.</w:t>
      </w:r>
    </w:p>
    <w:p>
      <w:pPr>
        <w:pStyle w:val="Heading2"/>
        <w:keepNext/>
        <w:spacing w:after="110" w:before="320"/>
      </w:pPr>
      <w:r>
        <w:rPr>
          <w:rFonts w:ascii="Calibri" w:cs="Calibri" w:eastAsia="Calibri" w:hAnsi="Calibri"/>
          <w:b/>
          <w:bCs/>
          <w:sz w:val="27"/>
          <w:szCs w:val="27"/>
        </w:rPr>
        <w:t xml:space="preserve">Kısım 1’in özeti</w:t>
      </w:r>
    </w:p>
    <w:p>
      <w:pPr>
        <w:spacing w:after="140" w:line="288"/>
        <w:jc w:val="left"/>
      </w:pPr>
      <w:r>
        <w:rPr>
          <w:rFonts w:ascii="Calibri" w:cs="Calibri" w:eastAsia="Calibri" w:hAnsi="Calibri"/>
          <w:sz w:val="22"/>
          <w:szCs w:val="22"/>
        </w:rPr>
        <w:t xml:space="preserve">Dört bölüm birlikte okunduğunda, ölçüm sisteminin temel mimarisi ortaya çıkar. ISO 30414 (1.1), ne raporlanacağını ve nasıl açıklanacağını söyler: 11 alan, 14 zorunlu ve 55 önerilen metrik, TCFD tabanlı dört açıklama alanı ve TML düzeyleri. ISO 30408 (1.2), bu raporun arkasındaki sistemi kurar: Üç ilke, üç katmanlı sorumluluk ve hedef–ölçü–aralık mantığı. ISO 30435 (1.3), raporun dayandığı verinin güvenilirliğini sağlar: beş unsur, yaşam döngüsü, tolerans ve örnekleme. ISO/TS 30423 (1.4) ise bu çerçevenin en hassas alanında, uyum ve etikte, birikim ve hareket mantığını ve bağlamla okuma ilkesini gösterir.</w:t>
      </w:r>
    </w:p>
    <w:p>
      <w:pPr>
        <w:spacing w:after="140" w:line="288"/>
        <w:jc w:val="left"/>
      </w:pPr>
      <w:r>
        <w:rPr>
          <w:rFonts w:ascii="Calibri" w:cs="Calibri" w:eastAsia="Calibri" w:hAnsi="Calibri"/>
          <w:sz w:val="22"/>
          <w:szCs w:val="22"/>
        </w:rPr>
        <w:t xml:space="preserve">Dört bölümü birbirine bağlayan ortak ilke şudur: Ölçüm, bir sayı üretme işi değil, bir güven üretme işidir. Sayıya güven; tanımın yazılı olmasından, verinin sınanmış olmasından, sorumlunun belli olmasından ve sonucun bağlamla birlikte sunulmasından doğar. Sonraki kısımlarda ele alınan her metrik, bu dört güvenceyi ister: Hangi çerçevede (1.1)? Kim hesap veriyor (1.2)? Veri sağlam mı (1.3)? Kurallara uygun mu (1.4)?</w:t>
      </w:r>
    </w:p>
    <w:p>
      <w:pPr>
        <w:spacing w:after="140" w:line="288"/>
        <w:jc w:val="left"/>
      </w:pPr>
      <w:r>
        <w:rPr>
          <w:rFonts w:ascii="Calibri" w:cs="Calibri" w:eastAsia="Calibri" w:hAnsi="Calibri"/>
          <w:sz w:val="22"/>
          <w:szCs w:val="22"/>
        </w:rPr>
        <w:t xml:space="preserve">Kısım 2, bu temelin üzerine ilk yapıyı kurar: Kurumun ihtiyaç duyduğu işgücünü planlamak, tahsis etmek, bulunabilirliğini ölçmek ve kritik pozisyonlar için yedeklemeyi güvence altına almak. İşgücü planlaması (ISO 30409, bölüm 2.1) ile başlıyoruz.</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B95A1"/>
        <w:sz w:val="16"/>
        <w:szCs w:val="16"/>
      </w:rPr>
      <w:t xml:space="preserve">Sayfa </w:t>
    </w:r>
    <w:r>
      <w:rPr>
        <w:rFonts w:ascii="Calibri" w:cs="Calibri" w:eastAsia="Calibri" w:hAnsi="Calibri"/>
        <w:color w:val="8B95A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B95A1"/>
        <w:sz w:val="16"/>
        <w:szCs w:val="16"/>
      </w:rPr>
      <w:t xml:space="preserve">İK Profesyonelleri için Metrik El Kitabı · Kısım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Calibri" w:cs="Calibri" w:eastAsia="Calibri" w:hAnsi="Calibri"/>
      <w:b/>
      <w:bCs/>
      <w:sz w:val="48"/>
      <w:szCs w:val="48"/>
    </w:rPr>
  </w:style>
  <w:style w:type="paragraph" w:styleId="Heading1">
    <w:name w:val="Heading 1"/>
    <w:basedOn w:val="Normal"/>
    <w:next w:val="Normal"/>
    <w:qFormat/>
    <w:pPr>
      <w:spacing w:after="100" w:before="0"/>
      <w:outlineLvl w:val="0"/>
    </w:pPr>
    <w:rPr>
      <w:rFonts w:ascii="Calibri" w:cs="Calibri" w:eastAsia="Calibri" w:hAnsi="Calibri"/>
      <w:b/>
      <w:bCs/>
      <w:color w:val="0B5C8A"/>
      <w:sz w:val="34"/>
      <w:szCs w:val="34"/>
    </w:rPr>
  </w:style>
  <w:style w:type="paragraph" w:styleId="Heading2">
    <w:name w:val="Heading 2"/>
    <w:basedOn w:val="Normal"/>
    <w:next w:val="Normal"/>
    <w:qFormat/>
    <w:pPr>
      <w:spacing w:after="110" w:before="320"/>
      <w:outlineLvl w:val="1"/>
    </w:pPr>
    <w:rPr>
      <w:rFonts w:ascii="Calibri" w:cs="Calibri" w:eastAsia="Calibri" w:hAnsi="Calibri"/>
      <w:b/>
      <w:bCs/>
      <w:sz w:val="27"/>
      <w:szCs w:val="27"/>
    </w:rPr>
  </w:style>
  <w:style w:type="paragraph" w:styleId="Heading3">
    <w:name w:val="Heading 3"/>
    <w:basedOn w:val="Normal"/>
    <w:next w:val="Normal"/>
    <w:qFormat/>
    <w:pPr>
      <w:spacing w:after="80" w:before="220"/>
      <w:outlineLvl w:val="2"/>
    </w:pPr>
    <w:rPr>
      <w:rFonts w:ascii="Calibri" w:cs="Calibri" w:eastAsia="Calibri" w:hAnsi="Calibri"/>
      <w:b/>
      <w:bCs/>
      <w:color w:val="0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2026-10-13T08:12:33.777Z</dcterms:created>
  <dcterms:modified xsi:type="dcterms:W3CDTF">2026-10-13T08:12:33.777Z</dcterms:modified>
</cp:coreProperties>
</file>

<file path=docProps/custom.xml><?xml version="1.0" encoding="utf-8"?>
<Properties xmlns="http://schemas.openxmlformats.org/officeDocument/2006/custom-properties" xmlns:vt="http://schemas.openxmlformats.org/officeDocument/2006/docPropsVTypes"/>
</file>