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EK A</w:t>
      </w:r>
    </w:p>
    <w:p>
      <w:pPr>
        <w:pStyle w:val="Title"/>
        <w:spacing w:after="80"/>
      </w:pPr>
      <w:r>
        <w:rPr>
          <w:rFonts w:ascii="Calibri" w:cs="Calibri" w:eastAsia="Calibri" w:hAnsi="Calibri"/>
          <w:b/>
          <w:bCs/>
          <w:sz w:val="44"/>
          <w:szCs w:val="44"/>
        </w:rPr>
        <w:t xml:space="preserve">Metrik Seçim Kılavuzu: İK Sorusundan Metriğe</w:t>
      </w:r>
    </w:p>
    <w:p>
      <w:pPr>
        <w:spacing w:after="240" w:line="276"/>
      </w:pPr>
      <w:r>
        <w:rPr>
          <w:rFonts w:ascii="Calibri" w:cs="Calibri" w:eastAsia="Calibri" w:hAnsi="Calibri"/>
          <w:color w:val="59636F"/>
          <w:sz w:val="26"/>
          <w:szCs w:val="26"/>
        </w:rPr>
        <w:t xml:space="preserve">Hangi soruya hangi rehber ve formül?</w:t>
      </w:r>
    </w:p>
    <w:p>
      <w:pPr>
        <w:pStyle w:val="Heading1"/>
        <w:spacing w:after="160" w:before="360"/>
      </w:pPr>
      <w:r>
        <w:rPr>
          <w:rFonts w:ascii="Calibri" w:cs="Calibri" w:eastAsia="Calibri" w:hAnsi="Calibri"/>
          <w:b/>
          <w:bCs/>
          <w:color w:val="0B5C8A"/>
          <w:sz w:val="32"/>
          <w:szCs w:val="32"/>
        </w:rPr>
        <w:t xml:space="preserve">A.1 Bu ek ne işe yarar?</w:t>
      </w:r>
    </w:p>
    <w:p>
      <w:pPr>
        <w:spacing w:after="120" w:line="276"/>
      </w:pPr>
      <w:r>
        <w:rPr>
          <w:rFonts w:ascii="Calibri" w:cs="Calibri" w:eastAsia="Calibri" w:hAnsi="Calibri"/>
          <w:sz w:val="22"/>
          <w:szCs w:val="22"/>
        </w:rPr>
        <w:t xml:space="preserve">El kitabının ana kısımları standartları iş akışına göre sıralar. Uygulamada ise İK profesyoneli çoğu zaman bir standarttan değil bir sorudan yola çıkar: “Devir oranımız yüksek mi?”, “Yedeklerimiz hazır mı?”, “Bu eğitim işe yaradı mı?”. Bu ek, sık karşılaşılan İK sorularını önerilen metrik, formül ve ilgili rehberle eşleştirir.</w:t>
      </w:r>
    </w:p>
    <w:p>
      <w:pPr>
        <w:spacing w:after="120" w:line="276"/>
      </w:pPr>
      <w:r>
        <w:rPr>
          <w:rFonts w:ascii="Calibri" w:cs="Calibri" w:eastAsia="Calibri" w:hAnsi="Calibri"/>
          <w:sz w:val="22"/>
          <w:szCs w:val="22"/>
        </w:rPr>
        <w:t xml:space="preserve">Formüller, el kitabına konu olan rehber sayfalarındaki hesaplayıcılardan alınmıştır. Parantez içindeki numaralar (ör. 5.5) el kitabındaki bölüm numarasını gösterir; ilgili rehberde formülün tüm değişkenleri, birimi ve yorum bantları bulunur.</w:t>
      </w:r>
    </w:p>
    <w:p>
      <w:pPr>
        <w:pStyle w:val="Heading1"/>
        <w:spacing w:after="160" w:before="360"/>
      </w:pPr>
      <w:r>
        <w:rPr>
          <w:rFonts w:ascii="Calibri" w:cs="Calibri" w:eastAsia="Calibri" w:hAnsi="Calibri"/>
          <w:b/>
          <w:bCs/>
          <w:color w:val="0B5C8A"/>
          <w:sz w:val="32"/>
          <w:szCs w:val="32"/>
        </w:rPr>
        <w:t xml:space="preserve">A.2 Seçim yöntemi: beş adım</w:t>
      </w:r>
    </w:p>
    <w:p>
      <w:pPr>
        <w:pStyle w:val="ListParagraph"/>
        <w:numPr>
          <w:ilvl w:val="0"/>
          <w:numId w:val="2"/>
        </w:numPr>
        <w:spacing w:after="80" w:line="276"/>
      </w:pPr>
      <w:r>
        <w:rPr>
          <w:rFonts w:ascii="Calibri" w:cs="Calibri" w:eastAsia="Calibri" w:hAnsi="Calibri"/>
          <w:b/>
          <w:bCs/>
          <w:sz w:val="22"/>
          <w:szCs w:val="22"/>
        </w:rPr>
        <w:t xml:space="preserve">Soruyu netleştirin. </w:t>
      </w:r>
      <w:r>
        <w:rPr>
          <w:rFonts w:ascii="Calibri" w:cs="Calibri" w:eastAsia="Calibri" w:hAnsi="Calibri"/>
          <w:sz w:val="22"/>
          <w:szCs w:val="22"/>
        </w:rPr>
        <w:t xml:space="preserve">Karar vermek mi (örn. eğitim bütçesi), izlemek mi (örn. aylık devir) yoksa raporlamak mı (örn. ISO 30414 iç/dış rapor) istediğinizi belirleyin. Aynı konu için farklı amaçlar farklı metrik ister.</w:t>
      </w:r>
    </w:p>
    <w:p>
      <w:pPr>
        <w:pStyle w:val="ListParagraph"/>
        <w:numPr>
          <w:ilvl w:val="0"/>
          <w:numId w:val="2"/>
        </w:numPr>
        <w:spacing w:after="80" w:line="276"/>
      </w:pPr>
      <w:r>
        <w:rPr>
          <w:rFonts w:ascii="Calibri" w:cs="Calibri" w:eastAsia="Calibri" w:hAnsi="Calibri"/>
          <w:b/>
          <w:bCs/>
          <w:sz w:val="22"/>
          <w:szCs w:val="22"/>
        </w:rPr>
        <w:t xml:space="preserve">Soruyu bir alanla eşleyin. </w:t>
      </w:r>
      <w:r>
        <w:rPr>
          <w:rFonts w:ascii="Calibri" w:cs="Calibri" w:eastAsia="Calibri" w:hAnsi="Calibri"/>
          <w:sz w:val="22"/>
          <w:szCs w:val="22"/>
        </w:rPr>
        <w:t xml:space="preserve">A.3'teki on bir alandan (kadro, işe alım, yedekleme, öğrenme, devir, bağlılık, çeşitlilik, İSG, uyum, maliyet, veri kalitesi) ilgili olanı seçin.</w:t>
      </w:r>
    </w:p>
    <w:p>
      <w:pPr>
        <w:pStyle w:val="ListParagraph"/>
        <w:numPr>
          <w:ilvl w:val="0"/>
          <w:numId w:val="2"/>
        </w:numPr>
        <w:spacing w:after="80" w:line="276"/>
      </w:pPr>
      <w:r>
        <w:rPr>
          <w:rFonts w:ascii="Calibri" w:cs="Calibri" w:eastAsia="Calibri" w:hAnsi="Calibri"/>
          <w:b/>
          <w:bCs/>
          <w:sz w:val="22"/>
          <w:szCs w:val="22"/>
        </w:rPr>
        <w:t xml:space="preserve">Metriği ve rehberi bulun. </w:t>
      </w:r>
      <w:r>
        <w:rPr>
          <w:rFonts w:ascii="Calibri" w:cs="Calibri" w:eastAsia="Calibri" w:hAnsi="Calibri"/>
          <w:sz w:val="22"/>
          <w:szCs w:val="22"/>
        </w:rPr>
        <w:t xml:space="preserve">Alan tablosunda sorunuza en yakın satırı bulun. Satırda önerilen formül ve ayrıntı için gidilecek rehber yer alır.</w:t>
      </w:r>
    </w:p>
    <w:p>
      <w:pPr>
        <w:pStyle w:val="ListParagraph"/>
        <w:numPr>
          <w:ilvl w:val="0"/>
          <w:numId w:val="2"/>
        </w:numPr>
        <w:spacing w:after="80" w:line="276"/>
      </w:pPr>
      <w:r>
        <w:rPr>
          <w:rFonts w:ascii="Calibri" w:cs="Calibri" w:eastAsia="Calibri" w:hAnsi="Calibri"/>
          <w:b/>
          <w:bCs/>
          <w:sz w:val="22"/>
          <w:szCs w:val="22"/>
        </w:rPr>
        <w:t xml:space="preserve">Veriyi doğrulayın. </w:t>
      </w:r>
      <w:r>
        <w:rPr>
          <w:rFonts w:ascii="Calibri" w:cs="Calibri" w:eastAsia="Calibri" w:hAnsi="Calibri"/>
          <w:sz w:val="22"/>
          <w:szCs w:val="22"/>
        </w:rPr>
        <w:t xml:space="preserve">Hesaplamadan önce payda ve paydaki verinin tanımını netleştirin; gerekirse ISO 30435 (1.3) ile veri kalitesini sınayın.</w:t>
      </w:r>
    </w:p>
    <w:p>
      <w:pPr>
        <w:pStyle w:val="ListParagraph"/>
        <w:numPr>
          <w:ilvl w:val="0"/>
          <w:numId w:val="2"/>
        </w:numPr>
        <w:spacing w:after="80" w:line="276"/>
      </w:pPr>
      <w:r>
        <w:rPr>
          <w:rFonts w:ascii="Calibri" w:cs="Calibri" w:eastAsia="Calibri" w:hAnsi="Calibri"/>
          <w:b/>
          <w:bCs/>
          <w:sz w:val="22"/>
          <w:szCs w:val="22"/>
        </w:rPr>
        <w:t xml:space="preserve">Yorumlayın ve sınırlarını yazın. </w:t>
      </w:r>
      <w:r>
        <w:rPr>
          <w:rFonts w:ascii="Calibri" w:cs="Calibri" w:eastAsia="Calibri" w:hAnsi="Calibri"/>
          <w:sz w:val="22"/>
          <w:szCs w:val="22"/>
        </w:rPr>
        <w:t xml:space="preserve">Tek bir oran yeterli değildir. Aynı soruyu iki-üç göstergeyle (örn. oran + maliyet + trend) yanıtlayın ve sonucun neyi ölçmediğini rapora yazın.</w:t>
      </w:r>
    </w:p>
    <w:p>
      <w:pPr>
        <w:pStyle w:val="Heading1"/>
        <w:spacing w:after="160" w:before="360"/>
      </w:pPr>
      <w:r>
        <w:rPr>
          <w:rFonts w:ascii="Calibri" w:cs="Calibri" w:eastAsia="Calibri" w:hAnsi="Calibri"/>
          <w:b/>
          <w:bCs/>
          <w:color w:val="0B5C8A"/>
          <w:sz w:val="32"/>
          <w:szCs w:val="32"/>
        </w:rPr>
        <w:t xml:space="preserve">A.3 İK sorusundan metriğe: alan tabloları</w:t>
      </w:r>
    </w:p>
    <w:p>
      <w:pPr>
        <w:spacing w:after="60" w:line="276"/>
      </w:pPr>
      <w:r>
        <w:rPr>
          <w:rFonts w:ascii="Calibri" w:cs="Calibri" w:eastAsia="Calibri" w:hAnsi="Calibri"/>
          <w:sz w:val="22"/>
          <w:szCs w:val="22"/>
        </w:rPr>
        <w:t xml:space="preserve">Tablolarda ilk sütun karar sorusunu, ikinci sütun önerilen metrik ve formülü, üçüncü sütun ilgili rehberi (standart ve el kitabı bölüm numarası) gösterir.</w:t>
      </w:r>
    </w:p>
    <w:p>
      <w:pPr>
        <w:pStyle w:val="Heading2"/>
        <w:keepNext/>
        <w:spacing w:after="80" w:before="300"/>
      </w:pPr>
      <w:r>
        <w:rPr>
          <w:rFonts w:ascii="Calibri" w:cs="Calibri" w:eastAsia="Calibri" w:hAnsi="Calibri"/>
          <w:b/>
          <w:bCs/>
          <w:sz w:val="26"/>
          <w:szCs w:val="26"/>
        </w:rPr>
        <w:t xml:space="preserve">A. Kadro, işgücü yapısı ve planlama</w:t>
      </w:r>
    </w:p>
    <w:p>
      <w:pPr>
        <w:keepNext/>
        <w:spacing w:after="100" w:line="276"/>
      </w:pPr>
      <w:r>
        <w:rPr>
          <w:rFonts w:ascii="Calibri" w:cs="Calibri" w:eastAsia="Calibri" w:hAnsi="Calibri"/>
          <w:i/>
          <w:iCs/>
          <w:color w:val="59636F"/>
          <w:sz w:val="20"/>
          <w:szCs w:val="20"/>
        </w:rPr>
        <w:t xml:space="preserve">Kurumun kaç kişi olduğu, ne kadar kapasiteye sahip olduğu ve ihtiyacın ne olacağı soruları.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Kaç kişiyiz, gerçek kapasitemiz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çalışan (headcount) ve tam zaman eşdeğeri: FTE = (Tam zamanlı saat + Yarı zamanlı saat) ÷ Standart saat. Toplam FTE = çalışan FTE + koşullu işgücü FTE.</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 ISO/TS 30425 (2.3)</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Talebe göre işgücü açığımız ne kadar?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Arz–talep açığı = Talep (FTE) − Arz (FTE). Yetkinlik açığı = 100 − (Gereken yetkinliğe sahip ÷ Gruptaki kişi) × 100.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 (2.1)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Bütçelenen kadroya göre neredeyiz?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Kadro sapması = Fiili kadro − Bütçelenen kadro. Finanse edilmiş boş kadro oranı = (Finanse edilmiş boş kadro ÷ Finanse edilmiş pozisyon)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30425 (2.3); ISO 30409 (2.1)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Emeklilik ve ayrılışlar nedeniyle bilgi kaybı riski var mı?</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Emeklilik ve ayrılış maruziyeti = (Planlama döneminde ayrılması beklenen ÷ Grup büyüklüğü) × 100. Arz riski puanı = Olasılık (1–5) × Etki (1–5).</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 (2.1)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Senaryolara göre gelecekteki talebimiz ne olur?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Talep projeksiyonu = Mevcut talep × (1 + Yıllık değişim ÷ 100)^yıl.</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 (2.1)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Koşullu işgücüne ne kadar bağımlıyız?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Koşullu oran = ((Yüklenici + Geçici) ÷ (Kadrolu + Yüklenici + Geçici)) × 100. Toplam koşullu işgücü = Bağımsız yükleniciler + Kiralık ve ajans işgücü.</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 (2.1); ISO/TS 30425 (2.3)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 teslim edilebilecek mi, iş yükü dengeli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Teslimat = (Tahsis edilen iş ÷ Toplam talep) × 100; Kullanım = (Tahsis edilen iş ÷ Toplam kapasite) × 100; İş yükü = (Çalışana tahsis edilen iş ÷ Çalışanın uygunluğu)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30434 (2.2)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Vardiya ve plana uyum nasıl?</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Plan uyumu = (İşyerinde geçirilen üretken süre ÷ Toplam tahsis edilen üretken süre) × 100. Tahmin doğruluğu ve geçmiş kullanım oranı.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30434 (2.2)</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Devamsızlık ne durumda?</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Devamsızlık oranı = (Devamsızlık süresi ÷ Planlanan çalışma süresi) × 100. Plansız devamsızlık = [Plansız devamsızlık günü ÷ (Çalışma günü × Çalışan sayısı)]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30425 (2.3);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Yönetici başına kaç kişi düşüyor?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Genel kontrol alanı = Toplam işgücü ÷ Toplam yönetici; özel kontrol alanı = Toplam işgücü ÷ Doğrudan astı olan yönetici.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30431 (4.4); ISO 30409 (2.1)</w:t>
            </w:r>
          </w:p>
        </w:tc>
      </w:tr>
    </w:tbl>
    <w:p>
      <w:pPr>
        <w:pStyle w:val="Heading2"/>
        <w:keepNext/>
        <w:spacing w:after="80" w:before="300"/>
      </w:pPr>
      <w:r>
        <w:rPr>
          <w:rFonts w:ascii="Calibri" w:cs="Calibri" w:eastAsia="Calibri" w:hAnsi="Calibri"/>
          <w:b/>
          <w:bCs/>
          <w:sz w:val="26"/>
          <w:szCs w:val="26"/>
        </w:rPr>
        <w:t xml:space="preserve">B. İşe alım ve kazanım</w:t>
      </w:r>
    </w:p>
    <w:p>
      <w:pPr>
        <w:keepNext/>
        <w:spacing w:after="100" w:line="276"/>
      </w:pPr>
      <w:r>
        <w:rPr>
          <w:rFonts w:ascii="Calibri" w:cs="Calibri" w:eastAsia="Calibri" w:hAnsi="Calibri"/>
          <w:i/>
          <w:iCs/>
          <w:color w:val="59636F"/>
          <w:sz w:val="20"/>
          <w:szCs w:val="20"/>
        </w:rPr>
        <w:t xml:space="preserve">Aday akışından işe başlamaya, maliyetten kaliteye süreç soruları.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Yeterli sayıda nitelikli aday geliyor mu?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Pozisyon başına nitelikli aday (AQC) = Nitelikli aday ÷ Açık pozisyon. Nitelikli aday oranı = (Nitelikli aday ÷ Toplam aday) × 100. Aday / açık pozisyon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 (3.2); ISO 30405 (3.1)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Pozisyonları ne kadar hızlı dolduruyoruz?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Doldurma süresi = Toplam gün ÷ Doldurulan pozisyon. Kritik pozisyonlar için ayrıca hesaplanır; doldurulamayan onaylı talep oranı izlenir.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 (3.2);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 ayrıldıktan sonra yenisi ne kadar sürede başlıyor?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Ayrılıştan işe başlamaya ortalama süre = Toplam iş günü ÷ Vaka sayısı. Uyum sürecinin bitişine kadar toplam süre.</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 (3.2)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Teklifler neden kabul edilmiyor?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Teklif kabul oranı = (Kabul edilen teklif ÷ Yapılan teklif) × 100; planlanan tarihte başlayan oranı. Gruplara göre kırılım için ISO 30415'e bakın.</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30405 (3.1); ISO 30415 (5.3)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Bir işe alım bize ne kadara mal oluyor?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başına maliyet (CPH) = (Σ dış maliyet + Σ iç maliyet) ÷ Toplam işe alım. Kuruma özgü (CPHI) ve karşılaştırılabilir (CPHC) sürümler ile işe alım maliyet oranı (HCR) ayrı hesaplanır.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30407 (3.3);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İşe alınanlar beklentiyi karşılıyor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Ortalama performans puanı = Σ performans puanı ÷ Yeni işe alım sayısı; Beklentiyi karşılama oranı = (Beklentiyi karşılayan ya da aşan yeni işe alım ÷ Toplam yeni işe alım) × 100.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30411 (3.4)</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Boş kalan kritik pozisyonun kuruma bedeli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Boş kritik pozisyonun etkisi L = Bireyin yıllık etkisi × Boş kalma süresi (ay) ÷ 12. Boş pozisyon süresinin maliyeti = Boş gün × Günlük katkı × Pozisyon sayısı.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30410 (3.5); ISO/TS 30430 (3.2)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Yeni çalışanlar kalıyor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İlk yıl yıpranma oranı = (İlk yıl ayrılan ÷ İlk yıl işe alınan) × 100; yeni çalışanların elde tutulması; kohort elde tutma.</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 ISO 30405 (3.1); ISO/TS 30421 (5.5)</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Yapay zekâ destekli seçim araçları güvenilir ve adil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Araç başarımı F1 = 2 × Kesinlik × Duyarlılık ÷ (Kesinlik + Duyarlılık). Gruplar arası seçilme oranı = Düşük seçilme oranı ÷ Yüksek seçilme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30405 (3.1)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Seçim değerlendirmesinin parasal faydası var mı?</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Net fayda = N × T × r × SDy × Zx − C (Brogden-Cronbach-Gleser tipi fayda modeli).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30405 (3.1)</w:t>
            </w:r>
          </w:p>
        </w:tc>
      </w:tr>
    </w:tbl>
    <w:p>
      <w:pPr>
        <w:pStyle w:val="Heading2"/>
        <w:keepNext/>
        <w:spacing w:after="80" w:before="300"/>
      </w:pPr>
      <w:r>
        <w:rPr>
          <w:rFonts w:ascii="Calibri" w:cs="Calibri" w:eastAsia="Calibri" w:hAnsi="Calibri"/>
          <w:b/>
          <w:bCs/>
          <w:sz w:val="26"/>
          <w:szCs w:val="26"/>
        </w:rPr>
        <w:t xml:space="preserve">C. Yedekleme planlaması</w:t>
      </w:r>
    </w:p>
    <w:p>
      <w:pPr>
        <w:keepNext/>
        <w:spacing w:after="100" w:line="276"/>
      </w:pPr>
      <w:r>
        <w:rPr>
          <w:rFonts w:ascii="Calibri" w:cs="Calibri" w:eastAsia="Calibri" w:hAnsi="Calibri"/>
          <w:i/>
          <w:iCs/>
          <w:color w:val="59636F"/>
          <w:sz w:val="20"/>
          <w:szCs w:val="20"/>
        </w:rPr>
        <w:t xml:space="preserve">Kritik pozisyonların sürekliliği ve iç aday havuzunun gücü.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Kritik pozisyonlarımız için yedek var mı?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 kapsama oranı = (Havuzdaki çalışan ÷ Toplam lider sayısı) × 100. Hazır adayı olmayan pozisyon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Yedeklerimiz ne kadar hazır?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Hazırlık (derinlik) oranı üç ufukta hesaplanır; pozisyon başına hazır aday = Hazır aday ÷ Kritik pozisyon; yetkinlik eşleşme yüzdesi; yedek gücü oranı.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Yedekleme sistemi çalışıyor mu?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Yedekleme etkililiği = (İçeriden doldurulan kritik pozisyon ÷ Toplam kritik pozisyon yedeklemesi) × 100. Dış alım payı.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Yedek havuzuna ne kadar yatırım yapıyoruz?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Havuz üyesi başına gelişim yatırımı = Gelişim bütçesi ÷ Havuz mevcudu. Havuz büyüme ve havuzdan devir oranları.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Yedekleme riskimizi tek göstergede nasıl görürüz?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Yedekleme risk endeksi = (Hazır adayı olmayan pozisyon payı + Kapsama açığı + Hazırlık açığı) ÷ 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Yedeklemede çeşitlilik gözetiliyor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 adayı payı = (Yedek adayı ÷ Kadro) × 100; yerleştirme payı = (Yerleştirilen ÷ Kadro) × 100; çeşitlilik boyutuna göre izlenir.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İç hareketlilik ne durumda?</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İç hareketlilik oranı = (İç hareketlilik ÷ Toplam çalışan) × 100; içeriden doldurulan pozisyon yüzdesi; kritik pozisyonların içeriden doldurulma yüzdesi.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w:t>
            </w:r>
          </w:p>
        </w:tc>
      </w:tr>
    </w:tbl>
    <w:p>
      <w:pPr>
        <w:pStyle w:val="Heading2"/>
        <w:keepNext/>
        <w:spacing w:after="80" w:before="300"/>
      </w:pPr>
      <w:r>
        <w:rPr>
          <w:rFonts w:ascii="Calibri" w:cs="Calibri" w:eastAsia="Calibri" w:hAnsi="Calibri"/>
          <w:b/>
          <w:bCs/>
          <w:sz w:val="26"/>
          <w:szCs w:val="26"/>
        </w:rPr>
        <w:t xml:space="preserve">D. Öğrenme, gelişim ve yetkinlik</w:t>
      </w:r>
    </w:p>
    <w:p>
      <w:pPr>
        <w:keepNext/>
        <w:spacing w:after="100" w:line="276"/>
      </w:pPr>
      <w:r>
        <w:rPr>
          <w:rFonts w:ascii="Calibri" w:cs="Calibri" w:eastAsia="Calibri" w:hAnsi="Calibri"/>
          <w:i/>
          <w:iCs/>
          <w:color w:val="59636F"/>
          <w:sz w:val="20"/>
          <w:szCs w:val="20"/>
        </w:rPr>
        <w:t xml:space="preserve">Öğrenmeye erişim, yatırım, etki ve işgücünün yetkinliği.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Çalışanların ne kadarı öğrenmeye erişiyor?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Erişim = (Tekil katılımcı ÷ Toplam çalışan) × 100; kategoriye göre katılım; çalışan başına ortalama biçimsel eğitim saati = Toplam eğitim saati ÷ Çalışan sayısı.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 ISO/TS 30437 (4.2); ISO/TS 30428 (4.3)</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Öğrenmeye ne kadar harcıyoruz?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maliyet = Dış sağlayıcı + İç kaynak + Teknoloji + Diğer + Öğrenen zamanı. Çalışan başına maliyet = Toplam maliyet ÷ Toplam çalışan; bordroya ve gelire oranlar.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 ISO/TS 30428 (4.3)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Eğitimlerimiz işe yaradı mı?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Düzey 1–5 zinciri: olumlu yüzde → ilk denemede geçme oranı → uygulama oranı → izole etki → yatırım getirisi = ((Brüt fayda − Toplam maliyet) ÷ Toplam maliyet)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30437 (4.2); ISO 30422 (4.1)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Öğrenme gerçekten gerçekleşti mi?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Normalleştirilmiş kazanç = ((Son test − Ön test) ÷ (En yüksek puan − Ön test)) × 100.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İşgücünün yetkinlik düzeyi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yetkinlik oranı (basit ortalama ya da grup ağırlıklı); çalışan grupları için ortalama yetkinlik derecesi.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30428 (4.3); ISO 30422 (4.1); ISO/TS 30437 (4.2)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Yeni başlayanlar ne kadar sürede yetkin oluyor?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Yeni başlayanın yetkinliğe ulaşma süresi = Toplam gün ÷ Yetkinliğe ulaşan yeni başlayan.</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Liderler geliştiriliyor mu, güvenilir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Liderlik gelişim programlarına katılım = (Programlara katılan lider ÷ Toplam lider) × 100. Liderlik güveni toplam endeksi = (Adalet + Dürüstlük + Tutarlılık) ÷ 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30431 (4.4);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Sürdürülebilir istihdam edilebilirlik uygulamalarımız hangi olgunlukta?</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Faz açığı = İstenen faz − Mevcut faz; öncelik puanı = maks(İstenen − Mevcut, 0) × Öncelik ağırlığı; madde uygulama yüzdesi.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ISO/TR 30406 (4.5)</w:t>
            </w:r>
          </w:p>
        </w:tc>
      </w:tr>
    </w:tbl>
    <w:p>
      <w:pPr>
        <w:pStyle w:val="Heading2"/>
        <w:keepNext/>
        <w:spacing w:after="80" w:before="300"/>
      </w:pPr>
      <w:r>
        <w:rPr>
          <w:rFonts w:ascii="Calibri" w:cs="Calibri" w:eastAsia="Calibri" w:hAnsi="Calibri"/>
          <w:b/>
          <w:bCs/>
          <w:sz w:val="26"/>
          <w:szCs w:val="26"/>
        </w:rPr>
        <w:t xml:space="preserve">E. Devir ve elde tutma</w:t>
      </w:r>
    </w:p>
    <w:p>
      <w:pPr>
        <w:keepNext/>
        <w:spacing w:after="100" w:line="276"/>
      </w:pPr>
      <w:r>
        <w:rPr>
          <w:rFonts w:ascii="Calibri" w:cs="Calibri" w:eastAsia="Calibri" w:hAnsi="Calibri"/>
          <w:i/>
          <w:iCs/>
          <w:color w:val="59636F"/>
          <w:sz w:val="20"/>
          <w:szCs w:val="20"/>
        </w:rPr>
        <w:t xml:space="preserve">Kaybedilenler, kaybın bedeli ve kalanların istikrarı.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Devir oranımız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Aylık devir = (Ayrılan ÷ ((Ay başı + Ay sonu) ÷ 2)) × 100; yıllık devir = aylık oranların toplamı. ISO 30414 çerçevesi yıllık oranı (Ayrılan ÷ Ortalama çalışan) × 100 olarak da verir.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Hangi ayrılışlar kuruma en çok zarar veriyor?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Gönüllü devir, kritik pozisyon devri ve üzücü (regrettable) devir oranları ayrı hesaplanır; korunan gruplarda gönüllü devir oranı çeşitlilik açısından izlenir.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Devrin bize maliyeti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devir maliyeti = Ayrılma işlemleri + İşe alım (yerine alma) + Hıza erişme (onboarding) maliyeti.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Elde tutma oranımız nedir?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Basit elde tutma = 100 − Yıllık devir oranı; yüksek devirli ortamlar için dönem başı kohortu esas alan formül; pozisyon temelli elde tutma.</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Çalışanlar ne kadar istikrarlı?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Ortalama kıdem = Kümülatif kıdem (ay) ÷ Kişi sayısı; istikrar oranı (1+ yıl); kohort elde tutma.</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Kayıpların ne kadarı erken dönemde?</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Erken kayıp payı = ((Deneme dönemi + İlk iki yıl kayıpları) ÷ Toplam kayıp) × 100. Tutma oranı (istikrar endeksi).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24178 (5.2)</w:t>
            </w:r>
          </w:p>
        </w:tc>
      </w:tr>
    </w:tbl>
    <w:p>
      <w:pPr>
        <w:pStyle w:val="Heading2"/>
        <w:keepNext/>
        <w:spacing w:after="80" w:before="300"/>
      </w:pPr>
      <w:r>
        <w:rPr>
          <w:rFonts w:ascii="Calibri" w:cs="Calibri" w:eastAsia="Calibri" w:hAnsi="Calibri"/>
          <w:b/>
          <w:bCs/>
          <w:sz w:val="26"/>
          <w:szCs w:val="26"/>
        </w:rPr>
        <w:t xml:space="preserve">F. Bağlılık, kültür ve yönetişim</w:t>
      </w:r>
    </w:p>
    <w:p>
      <w:pPr>
        <w:keepNext/>
        <w:spacing w:after="100" w:line="276"/>
      </w:pPr>
      <w:r>
        <w:rPr>
          <w:rFonts w:ascii="Calibri" w:cs="Calibri" w:eastAsia="Calibri" w:hAnsi="Calibri"/>
          <w:i/>
          <w:iCs/>
          <w:color w:val="59636F"/>
          <w:sz w:val="20"/>
          <w:szCs w:val="20"/>
        </w:rPr>
        <w:t xml:space="preserve">Çalışanların deneyimi ve yönetimin söylediği ile yaptığı arasındaki uyum.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 bağlılığımız ne düzeyde?</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UWES benzeri bağlılık puanı (genel puan = 9 madde toplamı ÷ 9); olumlu yanıt oranı; eNPS = [(Destekçi − Karşıt) ÷ Yanıtlayan] × 100; bağlılık endeksi.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(5.1);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Anket sonuçlarına güvenebilir miyiz?</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Katılım = (Yanıt veren ÷ Davet edilen) × 100; anonimlik marjı = Raporlanan grubun büyüklüğü − Asgari grup büyüklüğü.</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(5.1); ISO/TS 24178 (5.2)</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Bağlılığa yönelik uygulamalarımız yeterli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başlama programı tamamlama oranı; öğrenme ve gelişime erişim oranı; sözleşme süresinin üstünde çalışma payı (aşırı bağlılık riski); rehber ifadelerinin uygulama kapsaması.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(5.1)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Kültürümüz hangi boyutta zayıf?</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Kültür endeksi = Toplam puan ÷ (5 × İfade sayısı × Yanıtlayan) × 100; en zayıf boyut = min(Amaç, Değer, Gerçeklik, Davranış, Liderlik) ÷ 5 × 100.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24178 (5.2)</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Hedeflerimiz kurumsal hedeflerle ve değerlerle uyumlu mu?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Hedef ve ölçü bağlantı oranı; değer uyum puanı = ((Güçlendiren − Zayıflatan) ÷ Toplam) × 100; hedefe göre sapma.</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30408 (1.2)</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Yönetişim süreçlerimiz izleniyor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İzleme takvimine uyum = (Tamamlanan gözden geçirme ÷ Planlanan gözden geçirme) × 100; paydaş katılım oranı.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30408 (1.2)</w:t>
            </w:r>
          </w:p>
        </w:tc>
      </w:tr>
    </w:tbl>
    <w:p>
      <w:pPr>
        <w:pStyle w:val="Heading2"/>
        <w:keepNext/>
        <w:spacing w:after="80" w:before="300"/>
      </w:pPr>
      <w:r>
        <w:rPr>
          <w:rFonts w:ascii="Calibri" w:cs="Calibri" w:eastAsia="Calibri" w:hAnsi="Calibri"/>
          <w:b/>
          <w:bCs/>
          <w:sz w:val="26"/>
          <w:szCs w:val="26"/>
        </w:rPr>
        <w:t xml:space="preserve">G. Çeşitlilik, kapsayıcılık ve ücret eşitliği</w:t>
      </w:r>
    </w:p>
    <w:p>
      <w:pPr>
        <w:keepNext/>
        <w:spacing w:after="100" w:line="276"/>
      </w:pPr>
      <w:r>
        <w:rPr>
          <w:rFonts w:ascii="Calibri" w:cs="Calibri" w:eastAsia="Calibri" w:hAnsi="Calibri"/>
          <w:i/>
          <w:iCs/>
          <w:color w:val="59636F"/>
          <w:sz w:val="20"/>
          <w:szCs w:val="20"/>
        </w:rPr>
        <w:t xml:space="preserve">ISO 30415 standart formül, eşik ya da hedef belirlemez; aşağıdaki göstergeler uygulama örnekleridir.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İşgücümüz referans nüfusu temsil ediyor mu?</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Temsil endeksi = ((Gruptaki kadro ÷ Toplam kadro) ÷ (Referans nüfus payı ÷ 100)) × 100. Yaş, cinsiyet, engellilik çeşitlilik yüzdeleri.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Süreçlerde bir gruba dezavantaj oluşuyor mu?</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Aşama geçiş (etki) oranı = (Grubun geçen ÷ başvuran) ÷ (Referansın geçen ÷ başvuran); teklif kabul ve ayrılma oranlarının referansa göre katı.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Ücret farkımız var mı?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Ücret farkı = ((Referans ortalama − Grup ortalama) ÷ Referans ortalama) × 100. Cinsiyet ücret oranı = Kadın toplam maliyeti ÷ Erkek toplam maliyeti; CEO / medyan çalışan ücret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Şikâyetler orantısız mı dağılıyor?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Şikâyet ve olay oranı = (Şikâyet sayısı ÷ Çalışan sayısı) × 1000.</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Tedarik zincirinde çeşitliliği gözetiyor muyuz?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Tedarikçi çeşitliliği harcama payı = (Az temsil edilen gruplara ait işletmelere harcama ÷ Toplam harcama) × 100.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bl>
    <w:p>
      <w:pPr>
        <w:pStyle w:val="Heading2"/>
        <w:keepNext/>
        <w:spacing w:after="80" w:before="300"/>
      </w:pPr>
      <w:r>
        <w:rPr>
          <w:rFonts w:ascii="Calibri" w:cs="Calibri" w:eastAsia="Calibri" w:hAnsi="Calibri"/>
          <w:b/>
          <w:bCs/>
          <w:sz w:val="26"/>
          <w:szCs w:val="26"/>
        </w:rPr>
        <w:t xml:space="preserve">H. İş sağlığı ve güvenliği</w:t>
      </w:r>
    </w:p>
    <w:p>
      <w:pPr>
        <w:keepNext/>
        <w:spacing w:after="100" w:line="276"/>
      </w:pPr>
      <w:r>
        <w:rPr>
          <w:rFonts w:ascii="Calibri" w:cs="Calibri" w:eastAsia="Calibri" w:hAnsi="Calibri"/>
          <w:i/>
          <w:iCs/>
          <w:color w:val="59636F"/>
          <w:sz w:val="20"/>
          <w:szCs w:val="20"/>
        </w:rPr>
        <w:t xml:space="preserve">İş kazaları, kayıp zaman ve önleme çalışmaları.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 kazası ve ölüm durumumuz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 kazası oranı = (İş kazası sayısı ÷ Ortalama kadro) × 100; ölümlü kaza oranı; milyon saat bazlı kaza oranı = (Kaza sayısı ÷ Çalışılan saat) × 1.000.000.</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Kazalar ne kadar çalışma süresi kaybettirdi?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Kayıp zaman oranı = (Kayıp çalışma süresi ÷ Planlanan çalışma süresi) × 100; sıklık oranı = (1.000.000 × Olay sayısı) ÷ Çalışılan saat; ağırlık oranı = (1.000 × Kayıp gün) ÷ Çalışılan saat.</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Önleme ve eğitim yeterli mi?</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İSG eğitimine katılım oranı; eğitimin zamanında verilmesi; kazasız çalışma saati; wellness programı katılım yüzdesi.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Bir iş kazası kuruma ne kadara mal oluyor?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 = Verimlilik kaybı + Kaçan iş + Yedekleme + Çalışana ödeme + Onarım + Sigorta + Hukuki gider.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w:t>
            </w:r>
          </w:p>
        </w:tc>
      </w:tr>
    </w:tbl>
    <w:p>
      <w:pPr>
        <w:pStyle w:val="Heading2"/>
        <w:keepNext/>
        <w:spacing w:after="80" w:before="300"/>
      </w:pPr>
      <w:r>
        <w:rPr>
          <w:rFonts w:ascii="Calibri" w:cs="Calibri" w:eastAsia="Calibri" w:hAnsi="Calibri"/>
          <w:b/>
          <w:bCs/>
          <w:sz w:val="26"/>
          <w:szCs w:val="26"/>
        </w:rPr>
        <w:t xml:space="preserve">I. Uyum, etik ve işgücü ilişkileri</w:t>
      </w:r>
    </w:p>
    <w:p>
      <w:pPr>
        <w:keepNext/>
        <w:spacing w:after="100" w:line="276"/>
      </w:pPr>
      <w:r>
        <w:rPr>
          <w:rFonts w:ascii="Calibri" w:cs="Calibri" w:eastAsia="Calibri" w:hAnsi="Calibri"/>
          <w:i/>
          <w:iCs/>
          <w:color w:val="59636F"/>
          <w:sz w:val="20"/>
          <w:szCs w:val="20"/>
        </w:rPr>
        <w:t xml:space="preserve">Uyum yükümlülükleri, şikâyet mekanizmaları ve toplu ilişkiler.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Uyum ve etik eğitimini kimler tamamladı?</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Tamamlama oranı = (Eğitimi tamamlayan ÷ Tamamlaması gereken) × 100; öngörülen süre içinde tamamlama oranı.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30423 (1.4);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Disiplin ve uyuşmazlıklar nasıl sonuçlanıyor?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Sonuçlandırılan = Açılış bakiyesi + Dönemde eklenen dosya − Kapanış bakiyesi (dış taraflarca sonuçlananlar için geri çekilenler de düşülür).</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30423 (1.4)</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Şikâyetler kurum içinde mi çözülüyor?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İç çözüm oranı = (İçeride çözülen şikâyet ÷ Toplam çözülen şikâyet) × 100; kategori payı; vaka sayısının TZE'ye oranı; şikâyetsiz gün sayısı.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30423 (1.4)</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Çalışanlar temsil ediliyor mu, toplu sözleşme kapsamı nedir?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temsil oranı = (Temsil edilen çalışan ÷ Toplam çalışan) × 100; toplu sözleşme kapsama oranı.</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w:t>
            </w:r>
          </w:p>
        </w:tc>
      </w:tr>
    </w:tbl>
    <w:p>
      <w:pPr>
        <w:pStyle w:val="Heading2"/>
        <w:keepNext/>
        <w:spacing w:after="80" w:before="300"/>
      </w:pPr>
      <w:r>
        <w:rPr>
          <w:rFonts w:ascii="Calibri" w:cs="Calibri" w:eastAsia="Calibri" w:hAnsi="Calibri"/>
          <w:b/>
          <w:bCs/>
          <w:sz w:val="26"/>
          <w:szCs w:val="26"/>
        </w:rPr>
        <w:t xml:space="preserve">J. Maliyet ve üretkenlik</w:t>
      </w:r>
    </w:p>
    <w:p>
      <w:pPr>
        <w:keepNext/>
        <w:spacing w:after="100" w:line="276"/>
      </w:pPr>
      <w:r>
        <w:rPr>
          <w:rFonts w:ascii="Calibri" w:cs="Calibri" w:eastAsia="Calibri" w:hAnsi="Calibri"/>
          <w:i/>
          <w:iCs/>
          <w:color w:val="59636F"/>
          <w:sz w:val="20"/>
          <w:szCs w:val="20"/>
        </w:rPr>
        <w:t xml:space="preserve">İnsan sermayesi yatırımının getirisi ve işgücü maliyeti görünümü.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 maliyetimiz toplamda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işgücü maliyeti = Toplam istihdam maliyeti + Dış işgücü maliyeti. İstihdam maliyeti = Maaş + İkramiye ve teşvik + Yan haklar + Diğer.</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30427 (6.2);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 maliyeti gelirimize oranla nerede?</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 oranı = (İşgücü maliyeti ÷ Toplam gelir ya da işletme gideri) × 100; FTE başına işgücü maliyeti.</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30427 (6.2); ISO/TS 30432 (6.1)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Çalışan başına ne kadar değer üretiyoruz?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başına gelir = Toplam net gelir ÷ Ortalama çalışan; çalışan başına EBIT; EBIT marjı.</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30432 (6.1); ISO 30414 (1.1)</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İnsan sermayesi yatırımımızın getirisi nedir?</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HC RoI = [Gelir − (Toplam gider − Toplam işgücü maliyeti)] ÷ Toplam işgücü maliyeti − 1.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30432 (6.1); ISO 30414 (1.1)</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Kâr amacı gütmeyen kurum olarak verimliliği nasıl ölçeriz?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Kullanılan fon oranı; idari kadronun saha çalışanlarına oranı; çalışan başına gerçekleştirilen proje.</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30432 (6.1)</w:t>
            </w:r>
          </w:p>
        </w:tc>
      </w:tr>
    </w:tbl>
    <w:p>
      <w:pPr>
        <w:pStyle w:val="Heading2"/>
        <w:keepNext/>
        <w:spacing w:after="80" w:before="300"/>
      </w:pPr>
      <w:r>
        <w:rPr>
          <w:rFonts w:ascii="Calibri" w:cs="Calibri" w:eastAsia="Calibri" w:hAnsi="Calibri"/>
          <w:b/>
          <w:bCs/>
          <w:sz w:val="26"/>
          <w:szCs w:val="26"/>
        </w:rPr>
        <w:t xml:space="preserve">K. Veri kalitesi</w:t>
      </w:r>
    </w:p>
    <w:p>
      <w:pPr>
        <w:keepNext/>
        <w:spacing w:after="100" w:line="276"/>
      </w:pPr>
      <w:r>
        <w:rPr>
          <w:rFonts w:ascii="Calibri" w:cs="Calibri" w:eastAsia="Calibri" w:hAnsi="Calibri"/>
          <w:i/>
          <w:iCs/>
          <w:color w:val="59636F"/>
          <w:sz w:val="20"/>
          <w:szCs w:val="20"/>
        </w:rPr>
        <w:t xml:space="preserve">Hiçbir metriğin, dayandığı veriden daha güvenilir olamayacağı gerçeği.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238"/>
        <w:gridCol w:w="1900"/>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İK sorusu</w:t>
            </w:r>
          </w:p>
        </w:tc>
        <w:tc>
          <w:tcPr>
            <w:tcW w:type="dxa" w:w="52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Önerilen metrik ve formül</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Metrikler için kullandığımız veriye güvenebilir miyiz?</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Doğruluk = (1 − Hatalı kayıt ÷ Örneklenen kayıt) × 100; zorunlu alan tamlığı; güncellik; tutarlılık; uygunluk.</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 (1.3)</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Veri kalitesinde en zayıf halka hangisi?</w:t>
            </w:r>
          </w:p>
        </w:tc>
        <w:tc>
          <w:tcPr>
            <w:tcW w:type="dxa" w:w="52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Boyut skor kartı: Zayıf halka = min(Doğruluk, Güncellik, Tamlık, Tutarlılık, Uygunluk).</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 (1.3)</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Tarihsel verileri temizlemek ne kadar sürer ve maliyeti nedir?</w:t>
            </w:r>
          </w:p>
        </w:tc>
        <w:tc>
          <w:tcPr>
            <w:tcW w:type="dxa" w:w="52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 = Kayıt × Hata % ÷ 100 × Dakika/kayıt ÷ 60 × Saat ücreti.</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 (1.3)</w:t>
            </w:r>
          </w:p>
        </w:tc>
      </w:tr>
    </w:tbl>
    <w:p>
      <w:pPr>
        <w:pStyle w:val="Heading1"/>
        <w:spacing w:after="160" w:before="360"/>
      </w:pPr>
      <w:r>
        <w:rPr>
          <w:rFonts w:ascii="Calibri" w:cs="Calibri" w:eastAsia="Calibri" w:hAnsi="Calibri"/>
          <w:b/>
          <w:bCs/>
          <w:color w:val="0B5C8A"/>
          <w:sz w:val="32"/>
          <w:szCs w:val="32"/>
        </w:rPr>
        <w:t xml:space="preserve">A.4 Aynı adı taşıyan metrikler: hangi tanımı kullanmalı?</w:t>
      </w:r>
    </w:p>
    <w:p>
      <w:pPr>
        <w:spacing w:after="100" w:line="276"/>
      </w:pPr>
      <w:r>
        <w:rPr>
          <w:rFonts w:ascii="Calibri" w:cs="Calibri" w:eastAsia="Calibri" w:hAnsi="Calibri"/>
          <w:sz w:val="22"/>
          <w:szCs w:val="22"/>
        </w:rPr>
        <w:t xml:space="preserve">Bazı metrikler birden fazla rehberde farklı ayrıntıyla yer alır. Aşağıdaki tablo, aynı adı taşıyan göstergeler arasındaki farkı ve önerilen tercihi özetler. Hangi tanımı seçerseniz seçin, raporda belirtin ve dönemler boyunca değiştirmeyin.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638"/>
        <w:gridCol w:w="2800"/>
      </w:tblGrid>
      <w:tr>
        <w:trPr>
          <w:cantSplit/>
          <w:tblHeader/>
        </w:trPr>
        <w:tc>
          <w:tcPr>
            <w:tcW w:type="dxa" w:w="2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Metrik</w:t>
            </w:r>
          </w:p>
        </w:tc>
        <w:tc>
          <w:tcPr>
            <w:tcW w:type="dxa" w:w="4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Farklı tanımlar</w:t>
            </w:r>
          </w:p>
        </w:tc>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Öneri</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Devir oranı</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(Ayrılan ÷ Ortalama çalışan) × 100. ISO/TS 30421: aylık devir ve bunların toplamı olarak yıllık devir; gönüllü, kritik ve üzücü devir ayrımı.</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Dış raporlamada ISO 30414 tanımı; yönetim izlemesinde ISO/TS 30421 ayrıntısı.</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İşe alım başına maliyet</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C_PH = Σ işe alım maliyeti ÷ Yeni işe alım. ISO/TS 30407: kuruma özgü (CPHI) ve karşılaştırılabilir (CPHC) sürümler.</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Kurum içi trend için CPHI; kurumlar arası karşılaştırma için CPHC.</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 yetkinlik oranı</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ISO/TS 30428 (basit ve ağırlıklı ortalama) ve ISO/TS 30437 (birim ağırlıklı).</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Gruplar farklı büyüklükteyse ağırlıklı oranı kullanın.</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Kontrol alanı</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doğrudan bağlı çalışan ÷ yönetici. ISO/TS 30431: genel (toplam işgücü ÷ tüm yönetici) ve özel (astı olan yönetici) sürümler.</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Hangisini seçtiğinizi açıkça yazın; yalnızca astı olan yöneticileri sayan özel sürüm daha gerçekçidir.</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Ortalama kıdem</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(yıl) ve ISO/TS 30421 (ay, kümülatif).</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Birimi dönem boyunca sabit tutun.</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Eğitime katılım / erişim</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ISO/TS 30428, ISO/TS 30437: tekil katılımcı ÷ toplam çalışan.</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Tekil kişi esas alınmalı; katılım sayısı değil.</w:t>
            </w:r>
          </w:p>
        </w:tc>
      </w:tr>
      <w:tr>
        <w:trPr>
          <w:cantSplit/>
        </w:trPr>
        <w:tc>
          <w:tcPr>
            <w:tcW w:type="dxa" w:w="2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İşgücü maliyeti ve HC RoI</w:t>
            </w:r>
          </w:p>
        </w:tc>
        <w:tc>
          <w:tcPr>
            <w:tcW w:type="dxa" w:w="4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ISO/TS 30427 ve ISO/TS 30432.</w:t>
            </w:r>
          </w:p>
        </w:tc>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 kalemlerini ISO/TS 30427 ile tanımlayıp getiriyi ISO/TS 30432 ile hesaplayın.</w:t>
            </w:r>
          </w:p>
        </w:tc>
      </w:tr>
      <w:tr>
        <w:trPr>
          <w:cantSplit/>
        </w:trPr>
        <w:tc>
          <w:tcPr>
            <w:tcW w:type="dxa" w:w="2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Anket yanıt/katılım oranı</w:t>
            </w:r>
          </w:p>
        </w:tc>
        <w:tc>
          <w:tcPr>
            <w:tcW w:type="dxa" w:w="4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ISO/TS 24178, ISO/TR 30406: yanıt veren ÷ davet edilen.</w:t>
            </w:r>
          </w:p>
        </w:tc>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Aynı tanım; anonimlik marjıyla birlikte raporlayın.</w:t>
            </w:r>
          </w:p>
        </w:tc>
      </w:tr>
    </w:tbl>
    <w:p>
      <w:pPr>
        <w:pStyle w:val="Heading1"/>
        <w:spacing w:after="160" w:before="360"/>
      </w:pPr>
      <w:r>
        <w:rPr>
          <w:rFonts w:ascii="Calibri" w:cs="Calibri" w:eastAsia="Calibri" w:hAnsi="Calibri"/>
          <w:b/>
          <w:bCs/>
          <w:color w:val="0B5C8A"/>
          <w:sz w:val="32"/>
          <w:szCs w:val="32"/>
        </w:rPr>
        <w:t xml:space="preserve">A.5 Başlangıç paketi: ilk on iki metrik</w:t>
      </w:r>
    </w:p>
    <w:p>
      <w:pPr>
        <w:spacing w:after="100" w:line="276"/>
      </w:pPr>
      <w:r>
        <w:rPr>
          <w:rFonts w:ascii="Calibri" w:cs="Calibri" w:eastAsia="Calibri" w:hAnsi="Calibri"/>
          <w:sz w:val="22"/>
          <w:szCs w:val="22"/>
        </w:rPr>
        <w:t xml:space="preserve">Hangi metrikle başlayacağından emin olmayan bir İK ekibi için, az veriyle hesaplanabilen ve karar değeri yüksek bir çekirdek küme önerilir: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400"/>
        <w:gridCol w:w="24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w:t>
            </w:r>
          </w:p>
        </w:tc>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Metrik</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Hangi soruya yanıt verir?</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1</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çalışan ve FTE</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Kapasitemiz nedir?</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 (1.1)</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2</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Yıllık ve gönüllü devir oranı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Çalışanları tutabiliyor muyuz?</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 (5.5)</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3</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Doldurma süresi</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ne kadar hızlı?</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 (3.2)</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4</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başına maliyet</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ne kadara mal oluyor?</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30407 (3.3)</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5</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 kapsama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Kritik pozisyonlar güvende mi?</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 (2.4)</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6</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Eğitime erişen çalışan oranı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Öğrenmeye kimler erişiyor?</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 (4.1)</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7</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başına eğitim maliyeti</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Öğrenmeye ne kadar harcıyoruz?</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30428 (4.3)</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8</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Bağlılık / eNPS ve katılım oranı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Çalışanlar bağlı mı?</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 (5.1)</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9</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Kayıp zaman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 sağlığı ve güvenliği nasıl?</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 (5.4)</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10</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Cinsiyet ücret oranı ve temsil endeksi</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Eşitlik sorunumuz var mı?</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 (5.3)</w:t>
            </w:r>
          </w:p>
        </w:tc>
      </w:tr>
      <w:tr>
        <w:trPr>
          <w:cantSplit/>
        </w:trPr>
        <w:tc>
          <w:tcPr>
            <w:tcW w:type="dxa" w:w="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11</w:t>
            </w:r>
          </w:p>
        </w:tc>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işgücü maliyeti ve gelire oranı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maliyeti sürdürülebilir mi?</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30427 (6.2)</w:t>
            </w:r>
          </w:p>
        </w:tc>
      </w:tr>
      <w:tr>
        <w:trPr>
          <w:cantSplit/>
        </w:trPr>
        <w:tc>
          <w:tcPr>
            <w:tcW w:type="dxa" w:w="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12</w:t>
            </w:r>
          </w:p>
        </w:tc>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Zorunlu alan tamlığı ve doğruluk oranı</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Verimize güvenebilir miyiz?</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 (1.3)</w:t>
            </w:r>
          </w:p>
        </w:tc>
      </w:tr>
    </w:tbl>
    <w:p>
      <w:pPr>
        <w:pStyle w:val="Heading1"/>
        <w:spacing w:after="160" w:before="360"/>
      </w:pPr>
      <w:r>
        <w:rPr>
          <w:rFonts w:ascii="Calibri" w:cs="Calibri" w:eastAsia="Calibri" w:hAnsi="Calibri"/>
          <w:b/>
          <w:bCs/>
          <w:color w:val="0B5C8A"/>
          <w:sz w:val="32"/>
          <w:szCs w:val="32"/>
        </w:rPr>
        <w:t xml:space="preserve">A.6 Yorumlarken dikkat edilecek noktalar</w:t>
      </w:r>
    </w:p>
    <w:p>
      <w:pPr>
        <w:pStyle w:val="ListParagraph"/>
        <w:numPr>
          <w:ilvl w:val="0"/>
          <w:numId w:val="3"/>
        </w:numPr>
        <w:spacing w:after="60" w:line="276"/>
      </w:pPr>
      <w:r>
        <w:rPr>
          <w:rFonts w:ascii="Calibri" w:cs="Calibri" w:eastAsia="Calibri" w:hAnsi="Calibri"/>
          <w:b/>
          <w:bCs/>
          <w:sz w:val="22"/>
          <w:szCs w:val="22"/>
        </w:rPr>
        <w:t xml:space="preserve">Kaba oran tek başına yeterli değildir. </w:t>
      </w:r>
      <w:r>
        <w:rPr>
          <w:rFonts w:ascii="Calibri" w:cs="Calibri" w:eastAsia="Calibri" w:hAnsi="Calibri"/>
          <w:sz w:val="22"/>
          <w:szCs w:val="22"/>
        </w:rPr>
        <w:t xml:space="preserve">Devir, kaza ya da devamsızlık oranları bağlam (sektör, kadro yapısı, kadro büyüklüğü) olmadan yorumlanamaz. Küçük gruplarda tek bir olay oranı çarpıtabilir.</w:t>
      </w:r>
    </w:p>
    <w:p>
      <w:pPr>
        <w:pStyle w:val="ListParagraph"/>
        <w:numPr>
          <w:ilvl w:val="0"/>
          <w:numId w:val="3"/>
        </w:numPr>
        <w:spacing w:after="60" w:line="276"/>
      </w:pPr>
      <w:r>
        <w:rPr>
          <w:rFonts w:ascii="Calibri" w:cs="Calibri" w:eastAsia="Calibri" w:hAnsi="Calibri"/>
          <w:b/>
          <w:bCs/>
          <w:sz w:val="22"/>
          <w:szCs w:val="22"/>
        </w:rPr>
        <w:t xml:space="preserve">Payda ve paydaki tanımı sabitleyin. </w:t>
      </w:r>
      <w:r>
        <w:rPr>
          <w:rFonts w:ascii="Calibri" w:cs="Calibri" w:eastAsia="Calibri" w:hAnsi="Calibri"/>
          <w:sz w:val="22"/>
          <w:szCs w:val="22"/>
        </w:rPr>
        <w:t xml:space="preserve">Ortalama çalışan mı dönem sonu mevcut mu kullanılıyor, FTE mi headcount mı esas alınıyor? Tanım değişirse trend anlamını yitirir.</w:t>
      </w:r>
    </w:p>
    <w:p>
      <w:pPr>
        <w:pStyle w:val="ListParagraph"/>
        <w:numPr>
          <w:ilvl w:val="0"/>
          <w:numId w:val="3"/>
        </w:numPr>
        <w:spacing w:after="60" w:line="276"/>
      </w:pPr>
      <w:r>
        <w:rPr>
          <w:rFonts w:ascii="Calibri" w:cs="Calibri" w:eastAsia="Calibri" w:hAnsi="Calibri"/>
          <w:b/>
          <w:bCs/>
          <w:sz w:val="22"/>
          <w:szCs w:val="22"/>
        </w:rPr>
        <w:t xml:space="preserve">Standartlar eşik vermez. </w:t>
      </w:r>
      <w:r>
        <w:rPr>
          <w:rFonts w:ascii="Calibri" w:cs="Calibri" w:eastAsia="Calibri" w:hAnsi="Calibri"/>
          <w:sz w:val="22"/>
          <w:szCs w:val="22"/>
        </w:rPr>
        <w:t xml:space="preserve">Rehberlerdeki yorum bantları öğretim amaçlı başlangıç ölçütleridir; ISO standartları genellikle hedef değer belirlemez. Eşikleri kurumun kendi geçmişi ve sektörüyle kalibre edin.</w:t>
      </w:r>
    </w:p>
    <w:p>
      <w:pPr>
        <w:pStyle w:val="ListParagraph"/>
        <w:numPr>
          <w:ilvl w:val="0"/>
          <w:numId w:val="3"/>
        </w:numPr>
        <w:spacing w:after="60" w:line="276"/>
      </w:pPr>
      <w:r>
        <w:rPr>
          <w:rFonts w:ascii="Calibri" w:cs="Calibri" w:eastAsia="Calibri" w:hAnsi="Calibri"/>
          <w:b/>
          <w:bCs/>
          <w:sz w:val="22"/>
          <w:szCs w:val="22"/>
        </w:rPr>
        <w:t xml:space="preserve">Kişisel veri ve anonimlik. </w:t>
      </w:r>
      <w:r>
        <w:rPr>
          <w:rFonts w:ascii="Calibri" w:cs="Calibri" w:eastAsia="Calibri" w:hAnsi="Calibri"/>
          <w:sz w:val="22"/>
          <w:szCs w:val="22"/>
        </w:rPr>
        <w:t xml:space="preserve">Küçük gruplara kırılımlı raporlarda kişinin tanınabilmesini önlemek için asgari grup büyüklüğü belirleyin.</w:t>
      </w:r>
    </w:p>
    <w:p>
      <w:pPr>
        <w:pStyle w:val="ListParagraph"/>
        <w:numPr>
          <w:ilvl w:val="0"/>
          <w:numId w:val="3"/>
        </w:numPr>
        <w:spacing w:after="60" w:line="276"/>
      </w:pPr>
      <w:r>
        <w:rPr>
          <w:rFonts w:ascii="Calibri" w:cs="Calibri" w:eastAsia="Calibri" w:hAnsi="Calibri"/>
          <w:b/>
          <w:bCs/>
          <w:sz w:val="22"/>
          <w:szCs w:val="22"/>
        </w:rPr>
        <w:t xml:space="preserve">Metrik karar yerine geçmez. </w:t>
      </w:r>
      <w:r>
        <w:rPr>
          <w:rFonts w:ascii="Calibri" w:cs="Calibri" w:eastAsia="Calibri" w:hAnsi="Calibri"/>
          <w:sz w:val="22"/>
          <w:szCs w:val="22"/>
        </w:rPr>
        <w:t xml:space="preserve">Hesaplayıcı sonuçları karar destek amaçlıdır; sonuç, nitel bilgiyle birlikte değerlendirilmelidir.</w:t>
      </w:r>
    </w:p>
    <w:p>
      <w:pPr>
        <w:pStyle w:val="Heading1"/>
        <w:spacing w:after="160" w:before="360"/>
      </w:pPr>
      <w:r>
        <w:rPr>
          <w:rFonts w:ascii="Calibri" w:cs="Calibri" w:eastAsia="Calibri" w:hAnsi="Calibri"/>
          <w:b/>
          <w:bCs/>
          <w:color w:val="0B5C8A"/>
          <w:sz w:val="32"/>
          <w:szCs w:val="32"/>
        </w:rPr>
        <w:t xml:space="preserve">A.7 Hızlı rehber dizini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200"/>
        <w:gridCol w:w="3638"/>
      </w:tblGrid>
      <w:tr>
        <w:trPr>
          <w:cantSplit/>
          <w:tblHeader/>
        </w:trPr>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Bölüm</w:t>
            </w:r>
          </w:p>
        </w:tc>
        <w:tc>
          <w:tcPr>
            <w:tcW w:type="dxa" w:w="1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Standart</w:t>
            </w:r>
          </w:p>
        </w:tc>
        <w:tc>
          <w:tcPr>
            <w:tcW w:type="dxa" w:w="3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Rehber</w:t>
            </w:r>
          </w:p>
        </w:tc>
        <w:tc>
          <w:tcPr>
            <w:tcW w:type="dxa" w:w="3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9"/>
            </w:pPr>
            <w:r>
              <w:rPr>
                <w:rFonts w:ascii="Calibri" w:cs="Calibri" w:eastAsia="Calibri" w:hAnsi="Calibri"/>
                <w:b/>
                <w:bCs/>
                <w:color w:val="FFFFFF"/>
                <w:sz w:val="19"/>
                <w:szCs w:val="19"/>
              </w:rPr>
              <w:t xml:space="preserve">Ana soru</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1.1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30414</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İnsan sermayesi raporlama</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Kuruma ne ve nasıl raporlarım?</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1.2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30408</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İnsan yönetişimi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Hedef, değer ve izleme uyumlu mu?</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1.3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veri kalitesi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Verime güvenebilir miyim?</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1.4</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30423</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Uyum ve etik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Uyum ve şikâyet yönetimi nasıl?</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2.1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30409</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planlaması</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Açığım ve riskim ne?</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2.2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30434</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tahsisi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Kapasite iş yüküne yeter mi?</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2.3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bulunabilirliği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FTE, kadro, devamsızlık nedir?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2.4</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30433</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Yedekleme planlaması</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Kritik pozisyonlar için yedek var mı?</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3.1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30405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rehberi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süreci sağlıklı mı?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3.2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30430</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metrikleri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Aday akışı ve süre nasıl?</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3.3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30407</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başına maliyet</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Bir işe alım kaça mal oluyor?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3.4</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30411</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 kalitesi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Yeni çalışanlar beklentiyi karşılıyor mu?</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3.5</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30410</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İşe alımın etkisi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Boş pozisyonun bedeli nedir?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4.1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30422</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 ve gelişim</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Öğrenmeye erişim, maliyet, sonuç</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4.2</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30437</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Öğrenme ve gelişim metrikleri</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Eğitimin etkisi ve yatırım getirisi</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4.3</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30428</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Beceri ve yetkinlik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Yetkinlik düzeyi nedir?</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4.4</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30431</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Liderlik</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Liderlik güveni, kontrol alanı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4.5</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ISO/TR 30406</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Sürdürülebilir istihdam edilebilirlik</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Uygulama olgunluğumuz nedir?</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5.1</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23326</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bağlılığı</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Çalışanlar bağlı mı?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5.2</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24178</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Örgüt kültürü</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Kültür hangi boyutta zayıf?</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5.3</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 30415</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Çeşitlilik ve kapsayıcılık</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Temsil, etki ve ücret farkı</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5.4</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24179</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 sağlığı ve güvenliği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Kaza, kayıp zaman, maliyet</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5.5</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30421</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Devir ve elde tutma</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Kim ayrılıyor, kaça mal oluyor?</w:t>
            </w:r>
          </w:p>
        </w:tc>
      </w:tr>
      <w:tr>
        <w:trPr>
          <w:cantSplit/>
        </w:trPr>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bCs/>
                <w:sz w:val="19"/>
                <w:szCs w:val="19"/>
              </w:rPr>
              <w:t xml:space="preserve">6.1</w:t>
            </w:r>
          </w:p>
        </w:tc>
        <w:tc>
          <w:tcPr>
            <w:tcW w:type="dxa" w:w="1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30432</w:t>
            </w:r>
          </w:p>
        </w:tc>
        <w:tc>
          <w:tcPr>
            <w:tcW w:type="dxa" w:w="3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İşgücü üretkenliği</w:t>
            </w:r>
          </w:p>
        </w:tc>
        <w:tc>
          <w:tcPr>
            <w:tcW w:type="dxa" w:w="3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Çalışan başına değer, HC RoI</w:t>
            </w:r>
          </w:p>
        </w:tc>
      </w:tr>
      <w:tr>
        <w:trPr>
          <w:cantSplit/>
        </w:trPr>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bCs/>
                <w:sz w:val="19"/>
                <w:szCs w:val="19"/>
              </w:rPr>
              <w:t xml:space="preserve">6.2</w:t>
            </w:r>
          </w:p>
        </w:tc>
        <w:tc>
          <w:tcPr>
            <w:tcW w:type="dxa" w:w="1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ISO/TS 30427</w:t>
            </w:r>
          </w:p>
        </w:tc>
        <w:tc>
          <w:tcPr>
            <w:tcW w:type="dxa" w:w="3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Maliyet</w:t>
            </w:r>
          </w:p>
        </w:tc>
        <w:tc>
          <w:tcPr>
            <w:tcW w:type="dxa" w:w="3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9"/>
            </w:pPr>
            <w:r>
              <w:rPr>
                <w:rFonts w:ascii="Calibri" w:cs="Calibri" w:eastAsia="Calibri" w:hAnsi="Calibri"/>
                <w:b w:val="false"/>
                <w:bCs w:val="false"/>
                <w:sz w:val="19"/>
                <w:szCs w:val="19"/>
              </w:rPr>
              <w:t xml:space="preserve">Toplam işgücü maliyeti</w:t>
            </w:r>
          </w:p>
        </w:tc>
      </w:tr>
    </w:tbl>
    <w:p>
      <w:pPr>
        <w:spacing w:before="300"/>
      </w:pPr>
      <w:r>
        <w:rPr>
          <w:rFonts w:ascii="Calibri" w:cs="Calibri" w:eastAsia="Calibri" w:hAnsi="Calibri"/>
          <w:i/>
          <w:iCs/>
          <w:color w:val="59636F"/>
          <w:sz w:val="18"/>
          <w:szCs w:val="18"/>
        </w:rPr>
        <w:t xml:space="preserve">Bu ek, ISO/TS teknik şartnamelerinin öğretim ve uygulama amaçlı Türkçe yorumlarına dayanır; standart metninin yerine geçmez. Resmî metin için ilgili ISO/TSE yayınına başvurunuz.</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Ek A · 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sz w:val="44"/>
      <w:szCs w:val="44"/>
    </w:rPr>
  </w:style>
  <w:style w:type="paragraph" w:styleId="Heading1">
    <w:name w:val="Heading 1"/>
    <w:basedOn w:val="Normal"/>
    <w:next w:val="Normal"/>
    <w:qFormat/>
    <w:pPr>
      <w:spacing w:after="160" w:before="360"/>
      <w:outlineLvl w:val="0"/>
    </w:pPr>
    <w:rPr>
      <w:rFonts w:ascii="Calibri" w:cs="Calibri" w:eastAsia="Calibri" w:hAnsi="Calibri"/>
      <w:b/>
      <w:bCs/>
      <w:color w:val="0B5C8A"/>
      <w:sz w:val="32"/>
      <w:szCs w:val="32"/>
    </w:rPr>
  </w:style>
  <w:style w:type="paragraph" w:styleId="Heading2">
    <w:name w:val="Heading 2"/>
    <w:basedOn w:val="Normal"/>
    <w:next w:val="Normal"/>
    <w:qFormat/>
    <w:pPr>
      <w:spacing w:after="80" w:before="3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2026-10-13T06:57:13.882Z</dcterms:created>
  <dcterms:modified xsi:type="dcterms:W3CDTF">2026-10-13T06:57:13.882Z</dcterms:modified>
</cp:coreProperties>
</file>

<file path=docProps/custom.xml><?xml version="1.0" encoding="utf-8"?>
<Properties xmlns="http://schemas.openxmlformats.org/officeDocument/2006/custom-properties" xmlns:vt="http://schemas.openxmlformats.org/officeDocument/2006/docPropsVTypes"/>
</file>