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0B5C8A"/>
          <w:sz w:val="24"/>
          <w:szCs w:val="24"/>
        </w:rPr>
        <w:t xml:space="preserve">İNSAN SERMAYESİ RAPORU</w:t>
      </w:r>
    </w:p>
    <w:p>
      <w:pPr>
        <w:spacing w:after="120"/>
      </w:pPr>
      <w:r>
        <w:rPr>
          <w:rFonts w:ascii="Calibri" w:cs="Calibri" w:eastAsia="Calibri" w:hAnsi="Calibri"/>
          <w:b/>
          <w:bCs/>
          <w:sz w:val="64"/>
          <w:szCs w:val="64"/>
        </w:rPr>
        <w:t xml:space="preserve">İç Rapor</w:t>
      </w:r>
    </w:p>
    <w:p>
      <w:pPr>
        <w:spacing w:after="480"/>
      </w:pPr>
      <w:r>
        <w:rPr>
          <w:rFonts w:ascii="Calibri" w:cs="Calibri" w:eastAsia="Calibri" w:hAnsi="Calibri"/>
          <w:color w:val="59636F"/>
          <w:sz w:val="26"/>
          <w:szCs w:val="26"/>
        </w:rPr>
        <w:t xml:space="preserve">ISO 30414:2025 tabanlı · doldurulmuş örnek</w:t>
      </w:r>
    </w:p>
    <w:p>
      <w:pPr>
        <w:spacing w:after="80"/>
      </w:pPr>
      <w:r>
        <w:rPr>
          <w:rFonts w:ascii="Calibri" w:cs="Calibri" w:eastAsia="Calibri" w:hAnsi="Calibri"/>
          <w:b/>
          <w:bCs/>
          <w:sz w:val="30"/>
          <w:szCs w:val="30"/>
        </w:rPr>
        <w:t xml:space="preserve">Örnek Anonim Sanayi A.Ş.</w:t>
      </w:r>
    </w:p>
    <w:p>
      <w:pPr>
        <w:spacing w:after="80"/>
      </w:pPr>
      <w:r>
        <w:rPr>
          <w:rFonts w:ascii="Calibri" w:cs="Calibri" w:eastAsia="Calibri" w:hAnsi="Calibri"/>
          <w:sz w:val="24"/>
          <w:szCs w:val="24"/>
        </w:rPr>
        <w:t xml:space="preserve">Rapor dönemi: </w:t>
      </w:r>
      <w:r>
        <w:rPr>
          <w:rFonts w:ascii="Calibri" w:cs="Calibri" w:eastAsia="Calibri" w:hAnsi="Calibri"/>
          <w:sz w:val="24"/>
          <w:szCs w:val="24"/>
        </w:rPr>
        <w:t xml:space="preserve">01.01.2025 – 31.12.2025</w:t>
      </w:r>
    </w:p>
    <w:p>
      <w:pPr>
        <w:spacing w:after="80"/>
      </w:pPr>
      <w:r>
        <w:rPr>
          <w:rFonts w:ascii="Calibri" w:cs="Calibri" w:eastAsia="Calibri" w:hAnsi="Calibri"/>
          <w:sz w:val="24"/>
          <w:szCs w:val="24"/>
        </w:rPr>
        <w:t xml:space="preserve">Sürüm / tarih: </w:t>
      </w:r>
      <w:r>
        <w:rPr>
          <w:rFonts w:ascii="Calibri" w:cs="Calibri" w:eastAsia="Calibri" w:hAnsi="Calibri"/>
          <w:sz w:val="24"/>
          <w:szCs w:val="24"/>
        </w:rPr>
        <w:t xml:space="preserve">v1.0 – 27.02.2026</w:t>
      </w:r>
    </w:p>
    <w:p>
      <w:pPr>
        <w:spacing w:after="80"/>
      </w:pPr>
      <w:r>
        <w:rPr>
          <w:rFonts w:ascii="Calibri" w:cs="Calibri" w:eastAsia="Calibri" w:hAnsi="Calibri"/>
          <w:sz w:val="24"/>
          <w:szCs w:val="24"/>
        </w:rPr>
        <w:t xml:space="preserve">Hazırlayan: </w:t>
      </w:r>
      <w:r>
        <w:rPr>
          <w:rFonts w:ascii="Calibri" w:cs="Calibri" w:eastAsia="Calibri" w:hAnsi="Calibri"/>
          <w:sz w:val="24"/>
          <w:szCs w:val="24"/>
        </w:rPr>
        <w:t xml:space="preserve">Zeynep Kaya, İK Analitik Uzmanı</w:t>
      </w:r>
    </w:p>
    <w:p>
      <w:pPr>
        <w:spacing w:after="80"/>
      </w:pPr>
      <w:r>
        <w:rPr>
          <w:rFonts w:ascii="Calibri" w:cs="Calibri" w:eastAsia="Calibri" w:hAnsi="Calibri"/>
          <w:sz w:val="24"/>
          <w:szCs w:val="24"/>
        </w:rPr>
        <w:t xml:space="preserve">Onaylayan: </w:t>
      </w:r>
      <w:r>
        <w:rPr>
          <w:rFonts w:ascii="Calibri" w:cs="Calibri" w:eastAsia="Calibri" w:hAnsi="Calibri"/>
          <w:sz w:val="24"/>
          <w:szCs w:val="24"/>
        </w:rPr>
        <w:t xml:space="preserve">Murat Demir, İK Direktörü (CHRO)</w:t>
      </w:r>
    </w:p>
    <w:p>
      <w:pPr>
        <w:spacing w:after="4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96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KURGUSAL ÖRNEK — okumadan önce</w:t>
            </w:r>
          </w:p>
        </w:tc>
      </w:tr>
      <w:tr>
        <w:trPr>
          <w:cantSplit/>
        </w:trPr>
        <w:tc>
          <w:tcPr>
            <w:tcW w:type="dxa" w:w="9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Bu belge, Ek E İç rapor şablonunun “Örnek Anonim Sanayi A.Ş.” adlı kurgusal kurum için doldurulmuş örneğidir. Kurum, kişi adları, CEO ücreti, önceki dönem (2024) ve hedef değerleri ile kaynağı “kurgusal” olarak işaretli tüm değerler uydurmadır. Diğer değerler, Ek C’deki yapay (sentetik) veri setinden hesaplanmıştır ve gerçek bir kuruma ait değildir. Belge yalnızca şablonun nasıl doldurulacağını göstermek içindir; yorum, kıyas ya da yayın amacıyla kullanılmamalıdır.</w:t>
            </w:r>
          </w:p>
        </w:tc>
      </w:tr>
    </w:tbl>
    <w:p>
      <w:r>
        <w:br w:type="page"/>
      </w:r>
    </w:p>
    <w:p>
      <w:pPr>
        <w:pStyle w:val="Heading1"/>
        <w:keepNext/>
        <w:spacing w:after="140" w:before="360"/>
      </w:pPr>
      <w:r>
        <w:rPr>
          <w:rFonts w:ascii="Calibri" w:cs="Calibri" w:eastAsia="Calibri" w:hAnsi="Calibri"/>
          <w:b/>
          <w:bCs/>
          <w:color w:val="0B5C8A"/>
          <w:sz w:val="32"/>
          <w:szCs w:val="32"/>
        </w:rPr>
        <w:t xml:space="preserve">1. Rapor Künyesi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Alan</w:t>
            </w:r>
          </w:p>
        </w:tc>
        <w:tc>
          <w:tcPr>
            <w:tcW w:type="dxa" w:w="64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Bilgi</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Kurum adı</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Örnek Anonim Sanayi A.Ş. (kurgusal)</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Rapor türü</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İç rapor</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Kurum büyüklüğü</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Büyük kurum</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Rapor dönemi</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01.01.2025 – 31.12.2025</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Kapsam (iş birimleri, ülkeler)</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Türkiye; 9 birim (üretim, lojistik, satış ve pazarlama, kalite, Ar-Ge, BT, finans, İK, genel müdürlük)</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Hedef kitle</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Üst yönetim, İK, bölüm yöneticileri</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Yayın kanalı / format</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İç pano ve yıllık İK yönetim raporu</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Raporlama sıklığı</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Yıllık (çeyreklik izleme panosu ile)</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Hazırlayan</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Zeynep Kaya, İK Analitik Uzmanı</w:t>
            </w:r>
          </w:p>
        </w:tc>
      </w:tr>
      <w:tr>
        <w:trPr>
          <w:cantSplit/>
        </w:trP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Sürüm / tarih</w:t>
            </w:r>
          </w:p>
        </w:tc>
        <w:tc>
          <w:tcPr>
            <w:tcW w:type="dxa" w:w="64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v1.0 – 27.02.2026</w:t>
            </w:r>
          </w:p>
        </w:tc>
      </w:tr>
    </w:tbl>
    <w:p>
      <w:pPr>
        <w:pStyle w:val="Heading1"/>
        <w:keepNext/>
        <w:spacing w:after="140" w:before="360"/>
      </w:pPr>
      <w:r>
        <w:rPr>
          <w:rFonts w:ascii="Calibri" w:cs="Calibri" w:eastAsia="Calibri" w:hAnsi="Calibri"/>
          <w:b/>
          <w:bCs/>
          <w:color w:val="0B5C8A"/>
          <w:sz w:val="32"/>
          <w:szCs w:val="32"/>
        </w:rPr>
        <w:t xml:space="preserve">2. Yönetici Özeti</w:t>
      </w:r>
    </w:p>
    <w:p>
      <w:pPr>
        <w:spacing w:after="110" w:line="276"/>
      </w:pPr>
      <w:r>
        <w:rPr>
          <w:rFonts w:ascii="Calibri" w:cs="Calibri" w:eastAsia="Calibri" w:hAnsi="Calibri"/>
          <w:b/>
          <w:bCs/>
          <w:sz w:val="21"/>
          <w:szCs w:val="21"/>
        </w:rPr>
        <w:t xml:space="preserve">1. </w:t>
      </w:r>
      <w:r>
        <w:rPr>
          <w:rFonts w:ascii="Calibri" w:cs="Calibri" w:eastAsia="Calibri" w:hAnsi="Calibri"/>
          <w:sz w:val="21"/>
          <w:szCs w:val="21"/>
        </w:rPr>
        <w:t xml:space="preserve">İşgücü 478 çalışandan (463,5 FTE) oluşmaktadır; contingent işgücü dahil toplam FTE 499,0’dır. 2025’te 71 kişi işe alınmış, 68 kişi ayrılmıştır.</w:t>
      </w:r>
    </w:p>
    <w:p>
      <w:pPr>
        <w:spacing w:after="110" w:line="276"/>
      </w:pPr>
      <w:r>
        <w:rPr>
          <w:rFonts w:ascii="Calibri" w:cs="Calibri" w:eastAsia="Calibri" w:hAnsi="Calibri"/>
          <w:b/>
          <w:bCs/>
          <w:sz w:val="21"/>
          <w:szCs w:val="21"/>
        </w:rPr>
        <w:t xml:space="preserve">2. </w:t>
      </w:r>
      <w:r>
        <w:rPr>
          <w:rFonts w:ascii="Calibri" w:cs="Calibri" w:eastAsia="Calibri" w:hAnsi="Calibri"/>
          <w:sz w:val="21"/>
          <w:szCs w:val="21"/>
        </w:rPr>
        <w:t xml:space="preserve">Yıllık devir %14,1 (2024: %15,8). Gönüllü devir %10,0; kritik pozisyonlarda gönüllü devir %11,0 ile hedefin (%8,0) üzerindedir ve en öncelikli konudur.</w:t>
      </w:r>
    </w:p>
    <w:p>
      <w:pPr>
        <w:spacing w:after="110" w:line="276"/>
      </w:pPr>
      <w:r>
        <w:rPr>
          <w:rFonts w:ascii="Calibri" w:cs="Calibri" w:eastAsia="Calibri" w:hAnsi="Calibri"/>
          <w:b/>
          <w:bCs/>
          <w:sz w:val="21"/>
          <w:szCs w:val="21"/>
        </w:rPr>
        <w:t xml:space="preserve">3. </w:t>
      </w:r>
      <w:r>
        <w:rPr>
          <w:rFonts w:ascii="Calibri" w:cs="Calibri" w:eastAsia="Calibri" w:hAnsi="Calibri"/>
          <w:sz w:val="21"/>
          <w:szCs w:val="21"/>
        </w:rPr>
        <w:t xml:space="preserve">Yedekleme: kritik pozisyonların %29,4’ünün şimdi hazır yedeği var; 12 pozisyonun (%8,8) hiç yedeği yok. Finans birimi hazır yedek açısından en zayıf birimdir.</w:t>
      </w:r>
    </w:p>
    <w:p>
      <w:pPr>
        <w:spacing w:after="110" w:line="276"/>
      </w:pPr>
      <w:r>
        <w:rPr>
          <w:rFonts w:ascii="Calibri" w:cs="Calibri" w:eastAsia="Calibri" w:hAnsi="Calibri"/>
          <w:b/>
          <w:bCs/>
          <w:sz w:val="21"/>
          <w:szCs w:val="21"/>
        </w:rPr>
        <w:t xml:space="preserve">4. </w:t>
      </w:r>
      <w:r>
        <w:rPr>
          <w:rFonts w:ascii="Calibri" w:cs="Calibri" w:eastAsia="Calibri" w:hAnsi="Calibri"/>
          <w:sz w:val="21"/>
          <w:szCs w:val="21"/>
        </w:rPr>
        <w:t xml:space="preserve">Bağlılık 3,95 / 6 ve eNPS −13,8’dir; üretim biriminde değerler daha düşüktür. İşe alım süresi 47,9 güne inmiş, kritik pozisyonlarda 57,8 gündür.</w:t>
      </w:r>
    </w:p>
    <w:p>
      <w:pPr>
        <w:spacing w:after="110" w:line="276"/>
      </w:pPr>
      <w:r>
        <w:rPr>
          <w:rFonts w:ascii="Calibri" w:cs="Calibri" w:eastAsia="Calibri" w:hAnsi="Calibri"/>
          <w:b/>
          <w:bCs/>
          <w:sz w:val="21"/>
          <w:szCs w:val="21"/>
        </w:rPr>
        <w:t xml:space="preserve">5. </w:t>
      </w:r>
      <w:r>
        <w:rPr>
          <w:rFonts w:ascii="Calibri" w:cs="Calibri" w:eastAsia="Calibri" w:hAnsi="Calibri"/>
          <w:sz w:val="21"/>
          <w:szCs w:val="21"/>
        </w:rPr>
        <w:t xml:space="preserve">İSG: 23 iş kazası, ölüm yok; kaza oranı 1.000.000 saatte 21,0 (hedef ≤ 18,0).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300"/>
        <w:gridCol w:w="1000"/>
        <w:gridCol w:w="33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Öne çıkan gösterge</w:t>
            </w:r>
          </w:p>
        </w:tc>
        <w:tc>
          <w:tcPr>
            <w:tcW w:type="dxa" w:w="17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3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 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33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FTE çalışan</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463,5</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449,6</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Tam zamanlı ve geçici çalışanlar 1, yarı zamanlılar 22,5 saat ÷ 45 saat olarak hesaplandı.</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İşgücü devir oranı</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%14,1</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%15,8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%13,0</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Aylık oranların toplamı; kaba yöntemle %14,1.</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Yedek derinliği: şimdi hazır</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%29,4</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%24,0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%40</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Şimdi hazır en az bir yedeği olan kritik pozisyon oranı.</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Bağlılık endeksi</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3,95 / 6 (endeks %65,8)</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%63,9</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%68</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UWES benzeri 9 maddelik anket; katılım %82.</w:t>
            </w:r>
          </w:p>
        </w:tc>
      </w:tr>
      <w:tr>
        <w:trPr>
          <w:cantSplit/>
        </w:trPr>
        <w:tc>
          <w:tcPr>
            <w:tcW w:type="dxa" w:w="2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 kazası sayısı ve oranı</w:t>
            </w:r>
          </w:p>
        </w:tc>
        <w:tc>
          <w:tcPr>
            <w:tcW w:type="dxa" w:w="17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23 kaza; 21,0 / 1.000.000 saat</w:t>
            </w:r>
          </w:p>
        </w:tc>
        <w:tc>
          <w:tcPr>
            <w:tcW w:type="dxa" w:w="13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27 kaza; 25,1</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 18,0</w:t>
            </w:r>
          </w:p>
        </w:tc>
        <w:tc>
          <w:tcPr>
            <w:tcW w:type="dxa" w:w="33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Çalışılan saat 1.096.420; üretim birimi kaynaklı vakalar ağırlıkta.</w:t>
            </w:r>
          </w:p>
        </w:tc>
      </w:tr>
    </w:tbl>
    <w:p>
      <w:pPr>
        <w:pStyle w:val="Heading1"/>
        <w:keepNext/>
        <w:spacing w:after="140" w:before="360"/>
      </w:pPr>
      <w:r>
        <w:rPr>
          <w:rFonts w:ascii="Calibri" w:cs="Calibri" w:eastAsia="Calibri" w:hAnsi="Calibri"/>
          <w:b/>
          <w:bCs/>
          <w:color w:val="0B5C8A"/>
          <w:sz w:val="32"/>
          <w:szCs w:val="32"/>
        </w:rPr>
        <w:t xml:space="preserve">3. Hazırlık ve Süreç Kontrol Listesi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38"/>
        <w:gridCol w:w="2100"/>
        <w:gridCol w:w="1400"/>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56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c>
          <w:tcPr>
            <w:tcW w:type="dxa" w:w="21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Sorumlu</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Tarih</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Raporun amacı, hedef kitlesi (üst yönetim, İK, bölüm yöneticileri) ve sıklığı belirlendi.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Rapor kapsamı (kurum, iş birimleri, ülkeler) ve rapor dönemi tanımlandı; yıllık raporlama döngüsüyle hizalandı.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M. Demir (CHRO)</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Kurum büyüklüğü (büyük kurum / KOBİ) belirlendi ve uygulanacak metrik kümesi seçildi.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A. Şahin (Finans)</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 zorunlu metrik (Tablo 3) rapor kapsamına alındı.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E. Arslan (Hukuk/Uyum)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26.01.2026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Önerilen metriklerden (Tablo 4) materyal olanlar seçildi; seçilmeyenlerin gerekçesi kaydedildi (materyallik ve orantılılık).</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 Yıldız (İSG)</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Kuruma özgü ek metrikler (varsa) tanımlandı ve gerekçelendirildi.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09.02.2026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“İşgücü” tanımı (çalışan + contingent işgücü) ve FTE esası yazıldı; headcount yalnızca tamamlayıcı olarak kullanıldı.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Her metrik için tanım, formül (Ek B), birim ve veri kaynağı yazıldı; önceki dönemle aynı tanım kullanıldı.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M. Demir (CHRO)</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Veri kalitesi denetimi yapıldı (doğruluk, tamlık, güncellik, tutarlılık, uygunluk; ISO 30435).</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A. Şahin (Finans)</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Veri gizliliği ve güvenliği gözden geçirildi; küçük gruplarda kişilerin tanınmasını önleyen asgari grup büyüklüğü uygulandı.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E. Arslan (Hukuk/Uyum)</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Önceki dönem değerleri ve hedefler toplandı.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 Yıldız (İSG)</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TML düzeylerine (üst, orta, alt) göre ayrıştırılacak metrikler belirlendi ve ayrıştırma verisi hazırlandı.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26.01.2026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Sonuçlar bağlamıyla (sektör, kadro yapısı, dönem) yorumlandı; hedef–sonuç sapmaları ve sınırlamalar yazıldı.</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 Kaya (İK Analitik)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İK ve yönetim onayı alındı; dağıtım listesi ve erişim yetkileri belirlendi.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M. Demir (CHRO)</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09.02.2026</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5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Veri boşlukları ve bir sonraki dönem iyileştirme eylemleri kaydedildi.</w:t>
            </w:r>
            <w:r>
              <w:rPr>
                <w:rFonts w:ascii="Calibri" w:cs="Calibri" w:eastAsia="Calibri" w:hAnsi="Calibri"/>
                <w:color w:val="8B95A1"/>
                <w:sz w:val="16"/>
                <w:szCs w:val="16"/>
              </w:rPr>
              <w:t xml:space="preserve"/>
            </w:r>
          </w:p>
        </w:tc>
        <w:tc>
          <w:tcPr>
            <w:tcW w:type="dxa" w:w="21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A. Şahin (Finans)</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16.02.2026</w:t>
            </w:r>
          </w:p>
        </w:tc>
      </w:tr>
    </w:tbl>
    <w:p>
      <w:pPr>
        <w:pStyle w:val="Heading1"/>
        <w:keepNext/>
        <w:spacing w:after="140" w:before="360"/>
      </w:pPr>
      <w:r>
        <w:rPr>
          <w:rFonts w:ascii="Calibri" w:cs="Calibri" w:eastAsia="Calibri" w:hAnsi="Calibri"/>
          <w:b/>
          <w:bCs/>
          <w:color w:val="0B5C8A"/>
          <w:sz w:val="32"/>
          <w:szCs w:val="32"/>
        </w:rPr>
        <w:t xml:space="preserve">4. Açıklama Alanları (TCFD Tabanlı Dört Alan)</w:t>
      </w:r>
    </w:p>
    <w:p>
      <w:pPr>
        <w:pStyle w:val="Heading2"/>
        <w:keepNext/>
        <w:spacing w:after="100" w:before="260"/>
      </w:pPr>
      <w:r>
        <w:rPr>
          <w:rFonts w:ascii="Calibri" w:cs="Calibri" w:eastAsia="Calibri" w:hAnsi="Calibri"/>
          <w:b/>
          <w:bCs/>
          <w:sz w:val="25"/>
          <w:szCs w:val="25"/>
        </w:rPr>
        <w:t xml:space="preserve">4.1 Yönetişim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Üst liderliğin (yönetim kurulu, CEO, CHRO) insan sermayesi risk ve fırsatları üzerindeki gözetimi tanımlandı.</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Yönetime devredilen roller, sorumluluklar ve gözden geçirme sıklığı açıklandı.</w:t>
            </w:r>
          </w:p>
        </w:tc>
      </w:tr>
    </w:tbl>
    <w:p>
      <w:pPr>
        <w:spacing w:after="80" w:line="276"/>
      </w:pPr>
      <w:r>
        <w:rPr>
          <w:rFonts w:ascii="Calibri" w:cs="Calibri" w:eastAsia="Calibri" w:hAnsi="Calibri"/>
          <w:sz w:val="21"/>
          <w:szCs w:val="21"/>
        </w:rPr>
        <w:t xml:space="preserve">İnsan sermayesi riskleri ve fırsatları yönetim kurulunun İnsan Kaynakları ve Ücret Komitesi tarafından yılda dört kez gözetilir. Komiteye CHRO raporlar; CHRO, İK Analitik ekibi aracılığıyla çeyreklik insan sermayesi panosunu üst yönetime sunar. Kritik pozisyonlar için yedekleme planı yılda bir kez kurul düzeyinde gözden geçirilir.</w:t>
      </w:r>
    </w:p>
    <w:p>
      <w:pPr>
        <w:pStyle w:val="Heading2"/>
        <w:keepNext/>
        <w:spacing w:after="100" w:before="260"/>
      </w:pPr>
      <w:r>
        <w:rPr>
          <w:rFonts w:ascii="Calibri" w:cs="Calibri" w:eastAsia="Calibri" w:hAnsi="Calibri"/>
          <w:b/>
          <w:bCs/>
          <w:sz w:val="25"/>
          <w:szCs w:val="25"/>
        </w:rPr>
        <w:t xml:space="preserve">4.2 Strateji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Kısa, orta ve uzun vadede belirlenen insan sermayesi riskleri ve fırsatları açıklandı.</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Senaryo planlaması ve stratejik dayanıklılık (ör. yetenek arzı, teknoloji dönüşümü) değerlendirildi.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İnsan sermayesi önceliklerinin iş stratejisiyle bağı kuruldu.</w:t>
            </w:r>
          </w:p>
        </w:tc>
      </w:tr>
    </w:tbl>
    <w:p>
      <w:pPr>
        <w:spacing w:after="80" w:line="276"/>
      </w:pPr>
      <w:r>
        <w:rPr>
          <w:rFonts w:ascii="Calibri" w:cs="Calibri" w:eastAsia="Calibri" w:hAnsi="Calibri"/>
          <w:sz w:val="21"/>
          <w:szCs w:val="21"/>
        </w:rPr>
        <w:t xml:space="preserve">Kısa vadede (0–1 yıl) üretim birimindeki gönüllü devir ve kritik pozisyon kayıpları; orta vadede (1–3 yıl) yedekleme derinliğinin artırılması; uzun vadede (3–5 yıl) dijital dönüşümün gerektirdiği becerilerin kazandırılması ve 50+ yaş grubunun (%14,4) bilgi aktarımı öncelikli konulardır. İki senaryo değerlendirilmiştir: talepte %8 artış (ek 38 FTE) ve %5 daralma; her iki durumda da yedek havuzunun yeterliliği ana dayanıklılık göstergesidir.</w:t>
      </w:r>
    </w:p>
    <w:p>
      <w:pPr>
        <w:pStyle w:val="Heading2"/>
        <w:keepNext/>
        <w:spacing w:after="100" w:before="260"/>
      </w:pPr>
      <w:r>
        <w:rPr>
          <w:rFonts w:ascii="Calibri" w:cs="Calibri" w:eastAsia="Calibri" w:hAnsi="Calibri"/>
          <w:b/>
          <w:bCs/>
          <w:sz w:val="25"/>
          <w:szCs w:val="25"/>
        </w:rPr>
        <w:t xml:space="preserve">4.3 Risk ve fırsat yönetimi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Risk ve fırsatların belirlenme ve değerlendirme süreçleri tanımlandı.</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İnsan sermayesi riskleri kurumsal risk yönetimine entegre edildi.</w:t>
            </w:r>
          </w:p>
        </w:tc>
      </w:tr>
    </w:tbl>
    <w:p>
      <w:pPr>
        <w:spacing w:after="80" w:line="276"/>
      </w:pPr>
      <w:r>
        <w:rPr>
          <w:rFonts w:ascii="Calibri" w:cs="Calibri" w:eastAsia="Calibri" w:hAnsi="Calibri"/>
          <w:sz w:val="21"/>
          <w:szCs w:val="21"/>
        </w:rPr>
        <w:t xml:space="preserve">İK riskleri yıllık risk kaydında izlenir; kurumsal risk komitesi altı başlıca riski (kritik pozisyon kaybı, üretimde devir, beceri açığı, iş kazası, uyum ve etik, ücret eşitliği) olasılık × etki puanıyla değerlendirir. Riskler kurumsal risk yönetimi çerçevesine entegredir ve çeyreklik gözden geçirilir.</w:t>
      </w:r>
    </w:p>
    <w:p>
      <w:pPr>
        <w:pStyle w:val="Heading2"/>
        <w:keepNext/>
        <w:spacing w:after="100" w:before="260"/>
      </w:pPr>
      <w:r>
        <w:rPr>
          <w:rFonts w:ascii="Calibri" w:cs="Calibri" w:eastAsia="Calibri" w:hAnsi="Calibri"/>
          <w:b/>
          <w:bCs/>
          <w:sz w:val="25"/>
          <w:szCs w:val="25"/>
        </w:rPr>
        <w:t xml:space="preserve">4.4 Metrikler ve hedefler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trPr>
        <w:tc>
          <w:tcPr>
            <w:tcW w:type="dxa" w:w="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91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Kontrol maddesi</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Kullanılan nicel metrikler ve tanımları açıklandı (Metrik_Kontrol sayfası ile uyumlu).</w:t>
            </w:r>
          </w:p>
        </w:tc>
      </w:tr>
      <w:tr>
        <w:trPr>
          <w:cantSplit/>
        </w:trPr>
        <w:tc>
          <w:tcPr>
            <w:tcW w:type="dxa" w:w="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91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Dönem sonuçları, KPI hedefleri ve hedef–sonuç sapmalarının nitel açıklaması yazıldı.</w:t>
            </w:r>
          </w:p>
        </w:tc>
      </w:tr>
    </w:tbl>
    <w:p>
      <w:pPr>
        <w:spacing w:after="80" w:line="276"/>
      </w:pPr>
      <w:r>
        <w:rPr>
          <w:rFonts w:ascii="Calibri" w:cs="Calibri" w:eastAsia="Calibri" w:hAnsi="Calibri"/>
          <w:sz w:val="21"/>
          <w:szCs w:val="21"/>
        </w:rPr>
        <w:t xml:space="preserve">Bu rapor 5. bölümde 70 metriği tanımlarıyla birlikte sunar. Hedefler yönetim kurulu onayıyla belirlenir; hedef–sonuç sapmaları yorum sütununda açıklanır. Başlıca sapma, kritik pozisyonlarda gönüllü devirdir (%11,0; hedef %8,0).</w:t>
      </w:r>
    </w:p>
    <w:p>
      <w:pPr>
        <w:pStyle w:val="Heading1"/>
        <w:keepNext/>
        <w:spacing w:after="140" w:before="360"/>
      </w:pPr>
      <w:r>
        <w:rPr>
          <w:rFonts w:ascii="Calibri" w:cs="Calibri" w:eastAsia="Calibri" w:hAnsi="Calibri"/>
          <w:b/>
          <w:bCs/>
          <w:color w:val="0B5C8A"/>
          <w:sz w:val="32"/>
          <w:szCs w:val="32"/>
        </w:rPr>
        <w:t xml:space="preserve">5. Metrikler ve Hedefler</w:t>
      </w:r>
    </w:p>
    <w:p>
      <w:pPr>
        <w:spacing w:after="110" w:line="276"/>
      </w:pPr>
      <w:r>
        <w:rPr>
          <w:rFonts w:ascii="Calibri" w:cs="Calibri" w:eastAsia="Calibri" w:hAnsi="Calibri"/>
          <w:color w:val="59636F"/>
          <w:sz w:val="19"/>
          <w:szCs w:val="19"/>
        </w:rPr>
        <w:t xml:space="preserve">Önceki dönem (2024) ve hedef değerleri kurgusaldır. “Ek C” kaynaklı değerler yapay veri setinden hesaplanmıştır; “kurgusal” işaretli değerler uydurmadır. Kat.: Z = zorunlu, Ö = önerilen, K = kuruma özgü; kalın metrikler zorunludur.</w:t>
      </w:r>
    </w:p>
    <w:p>
      <w:pPr>
        <w:pStyle w:val="Heading2"/>
        <w:keepNext/>
        <w:spacing w:after="100" w:before="260"/>
      </w:pPr>
      <w:r>
        <w:rPr>
          <w:rFonts w:ascii="Calibri" w:cs="Calibri" w:eastAsia="Calibri" w:hAnsi="Calibri"/>
          <w:b/>
          <w:bCs/>
          <w:sz w:val="25"/>
          <w:szCs w:val="25"/>
        </w:rPr>
        <w:t xml:space="preserve">5.1 İşgücü kompozisyonu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Toplam çalışan (headcount)</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478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464</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31.12.2025 itibarıyla; ay başı mevcut 468.</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Tam zaman eşdeğeri (FTE) çalışan</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463,5</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449,6</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Tam zamanlı ve geçici çalışanlar 1, yarı zamanlılar 22,5 saat ÷ 45 saat olarak hesaplandı.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Tam zamanlı çalışanlar</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A.1.3</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428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415</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Tam zamanlı sözleşmeli çalışan.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Yarı zamanlı çalışanlar</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A.1.4</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31</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Haftalık 22,5 saat çalışan.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Contingent: bağımsız yükleniciler</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Dönem sonu aktif sözleşme; 14,0 FTE.</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Contingent: geçici işgücü (ajans/görevlendirme)</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27</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Ajans/görevlendirme; 21,5 FTE. Geçici çalışanlar (21 kişi) çalışan sayısına dahildir.</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FTE (TFTE)</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A.1.8</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499,0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479,0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Çalışan FTE + contingent FTE (14,0 + 21,5).</w:t>
            </w:r>
            <w:r>
              <w:rPr>
                <w:rFonts w:ascii="Calibri" w:cs="Calibri" w:eastAsia="Calibri" w:hAnsi="Calibri"/>
                <w:i/>
                <w:iCs/>
                <w:color w:val="8B95A1"/>
                <w:sz w:val="15"/>
                <w:szCs w:val="15"/>
              </w:rPr>
              <w:t xml:space="preserve"> [Ek C verisi + kurgusal contingent]</w:t>
            </w:r>
          </w:p>
        </w:tc>
      </w:tr>
    </w:tbl>
    <w:p>
      <w:pPr>
        <w:pStyle w:val="Heading2"/>
        <w:keepNext/>
        <w:spacing w:after="100" w:before="260"/>
      </w:pPr>
      <w:r>
        <w:rPr>
          <w:rFonts w:ascii="Calibri" w:cs="Calibri" w:eastAsia="Calibri" w:hAnsi="Calibri"/>
          <w:b/>
          <w:bCs/>
          <w:sz w:val="25"/>
          <w:szCs w:val="25"/>
        </w:rPr>
        <w:t xml:space="preserve">5.2 Çeşitlilik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Yaş çeşitliliği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18-29: %27,2; 30-39: %34,3; 40-49: %24,1; 50+: %14,4</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50+: %13,2</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Yaş grubu dağılımı (çalışan).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Cinsiyet çeşitliliği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%37,5; erkek %62,5</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%36,4</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%40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Cinsiyeti kayıtlı çalışanlar esas alındı; üretimde kadın payı daha düşük.</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Engellilik</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%2,6</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%3,5</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Yasal olarak tanınmış engelli çalışan oranı.</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Diğer çeşitlilik ölçüleri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Yabancı uyruklu %1,7</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%1,5</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Kurumun seçtiği ek boyut: uyruk.</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Liderlik ekibi çeşitliliği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A.2.6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%47,6 (n=84)</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%44,0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Yönetici ve üst yönetici grubunda kadın payı.</w:t>
            </w:r>
            <w:r>
              <w:rPr>
                <w:rFonts w:ascii="Calibri" w:cs="Calibri" w:eastAsia="Calibri" w:hAnsi="Calibri"/>
                <w:i/>
                <w:iCs/>
                <w:color w:val="8B95A1"/>
                <w:sz w:val="15"/>
                <w:szCs w:val="15"/>
              </w:rPr>
              <w:t xml:space="preserve"/>
            </w:r>
          </w:p>
        </w:tc>
      </w:tr>
    </w:tbl>
    <w:p>
      <w:pPr>
        <w:pStyle w:val="Heading2"/>
        <w:keepNext/>
        <w:spacing w:after="100" w:before="260"/>
      </w:pPr>
      <w:r>
        <w:rPr>
          <w:rFonts w:ascii="Calibri" w:cs="Calibri" w:eastAsia="Calibri" w:hAnsi="Calibri"/>
          <w:b/>
          <w:bCs/>
          <w:sz w:val="25"/>
          <w:szCs w:val="25"/>
        </w:rPr>
        <w:t xml:space="preserve">5.3 Maliyetler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Toplam öğrenme ve gelişim maliyeti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1.643.900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1.479.510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Yalnızca doğrudan eğitim harcaması; öğrenen zamanı dahil değildir.</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Toplam işgücü maliyeti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357,3 mn TL</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340,0 mn TL</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Toplam istihdam + dış işgücü maliyeti; önceki yıla göre %5,1 artış.</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çalışan maliyeti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299,6 mn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285,0 mn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Maaş, ikramiye, yan hak ve diğer istihdam maliyetleri.</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dış (contingent) işgücü maliyeti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57,7 mn TL</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55,0 mn TL</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Yüklenici, geçici, koşullu ve fason işgücü.</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işe alım maliyeti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2.274.200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2.115.006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71 işe alım için dış + iç maliyet.</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İşe alım başına maliyet</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32.031 TL</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33.953 TL</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30.429 TL</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İlan sitesi kaynaklı işe alım ortalama 21.779 TL; ajans kaynaklı 54.590 TL.</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(İşgücü) devir maliyeti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A.3.8</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4,9 mn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4,5 mn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Varsayım: kişi başı ayrılma 12.500 TL + işe alım + hıza erişme 28.000 TL.</w:t>
            </w:r>
            <w:r>
              <w:rPr>
                <w:rFonts w:ascii="Calibri" w:cs="Calibri" w:eastAsia="Calibri" w:hAnsi="Calibri"/>
                <w:i/>
                <w:iCs/>
                <w:color w:val="8B95A1"/>
                <w:sz w:val="15"/>
                <w:szCs w:val="15"/>
              </w:rPr>
              <w:t xml:space="preserve"> [Ek C verisi + kurgusal birim maliyet]</w:t>
            </w:r>
          </w:p>
        </w:tc>
      </w:tr>
    </w:tbl>
    <w:p>
      <w:pPr>
        <w:pStyle w:val="Heading2"/>
        <w:keepNext/>
        <w:spacing w:after="100" w:before="260"/>
      </w:pPr>
      <w:r>
        <w:rPr>
          <w:rFonts w:ascii="Calibri" w:cs="Calibri" w:eastAsia="Calibri" w:hAnsi="Calibri"/>
          <w:b/>
          <w:bCs/>
          <w:sz w:val="25"/>
          <w:szCs w:val="25"/>
        </w:rPr>
        <w:t xml:space="preserve">5.4 Üretkenlik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FTE başına finansal ciro (veya bütçe)</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2.332.110 TL</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2.200.103 TL</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Net gelir ÷ toplam FTE (499,0).</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FTE başına FVÖK (EBIT) veya fazla</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210.439 TL</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202.345 TL</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(Gelir − gider) ÷ toplam FTE.</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İnsan sermayesi ROI (HCROI)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A.4.5</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0,29</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0,27</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0,31</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HCROI = [Gelir − (Gider − İşgücü maliyeti)] ÷ İşgücü maliyeti − 1.</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Toplam işgücü maliyeti / toplam (işletme) gideri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A.4.4</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%33,8</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%34,6</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%33,3</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Toplam işgücü maliyetinin toplam gidere oranı.</w:t>
            </w:r>
            <w:r>
              <w:rPr>
                <w:rFonts w:ascii="Calibri" w:cs="Calibri" w:eastAsia="Calibri" w:hAnsi="Calibri"/>
                <w:i/>
                <w:iCs/>
                <w:color w:val="8B95A1"/>
                <w:sz w:val="15"/>
                <w:szCs w:val="15"/>
              </w:rPr>
              <w:t xml:space="preserve"/>
            </w:r>
          </w:p>
        </w:tc>
      </w:tr>
    </w:tbl>
    <w:p>
      <w:pPr>
        <w:pStyle w:val="Heading2"/>
        <w:keepNext/>
        <w:spacing w:after="100" w:before="260"/>
      </w:pPr>
      <w:r>
        <w:rPr>
          <w:rFonts w:ascii="Calibri" w:cs="Calibri" w:eastAsia="Calibri" w:hAnsi="Calibri"/>
          <w:b/>
          <w:bCs/>
          <w:sz w:val="25"/>
          <w:szCs w:val="25"/>
        </w:rPr>
        <w:t xml:space="preserve">5.5 Sağlık, güvenlik ve iyi olma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 kazalarının sayısı ve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23 kaza; 21,0 / 1.000.000 saat</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27 kaza; 25,1</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 18,0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Çalışılan saat 1.096.420; üretim birimi kaynaklı vakalar ağırlıkta.</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 kaynaklı ölümlerin sayısı ve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Dönem içinde iş kaynaklı ölüm yok.</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Yaralanma/hastalık kaynaklı kayıp zaman</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112 kayıp gün</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131 kayıp gün</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 100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Kaza kaynaklı kayıp gün; ağırlık oranı 0,10 / 1.000 saat.</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Devamsızlık (plansız)</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%2,4</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%2,7</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%2,2</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Plansız devamsızlık günü ÷ (iş günü × çalışan).</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İsteğe bağlı iyi-olma/wellness programı katılım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A.5.6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%41</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%36</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İsteğe bağlı wellness programına katılım.</w:t>
            </w:r>
            <w:r>
              <w:rPr>
                <w:rFonts w:ascii="Calibri" w:cs="Calibri" w:eastAsia="Calibri" w:hAnsi="Calibri"/>
                <w:i/>
                <w:iCs/>
                <w:color w:val="8B95A1"/>
                <w:sz w:val="15"/>
                <w:szCs w:val="15"/>
              </w:rPr>
              <w:t xml:space="preserve"> [kurgusal]</w:t>
            </w:r>
          </w:p>
        </w:tc>
      </w:tr>
    </w:tbl>
    <w:p>
      <w:pPr>
        <w:pStyle w:val="Heading2"/>
        <w:keepNext/>
        <w:spacing w:after="100" w:before="260"/>
      </w:pPr>
      <w:r>
        <w:rPr>
          <w:rFonts w:ascii="Calibri" w:cs="Calibri" w:eastAsia="Calibri" w:hAnsi="Calibri"/>
          <w:b/>
          <w:bCs/>
          <w:sz w:val="25"/>
          <w:szCs w:val="25"/>
        </w:rPr>
        <w:t xml:space="preserve">5.6 Liderlik, kültür ve bağlılık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Bağlılık (engagement)</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A.6.2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3,95 / 6 (endeks %65,8)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%63,9</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%68</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UWES benzeri 9 maddelik anket; katılım %82.</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Ortalama kıdem</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A.6.3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3,2 yıl</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3,0 yıl</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Yıl sonu mevcut çalışanların ortalama kıdemi.</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İlk yıl yıpranma oranı (TML)</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A.6.4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%23,1</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%20,5</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%15</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2025’te işe başlayanların aynı yıl içinde ayrılma oranı (TML kırılımı mümkün).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eNPS (çalışan net tavsiye skoru)</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A.6.5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-13,8</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-18,4</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Destekçi (9–10) − karşıt (0–6) yüzdesi.</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Liderlik güveni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A.6.6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71 / 100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69 / 100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75 / 100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Adalet, dürüstlük ve tutarlılık ortalaması (ISO/TS 30431 ölçeği).</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Kontrol alanı (span of control)</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A.6.7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4,8 çalışan / yönetici</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4,6</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Doğrudan astı olan yönetici başına çalışan.</w:t>
            </w:r>
            <w:r>
              <w:rPr>
                <w:rFonts w:ascii="Calibri" w:cs="Calibri" w:eastAsia="Calibri" w:hAnsi="Calibri"/>
                <w:i/>
                <w:iCs/>
                <w:color w:val="8B95A1"/>
                <w:sz w:val="15"/>
                <w:szCs w:val="15"/>
              </w:rPr>
              <w:t xml:space="preserve"/>
            </w:r>
          </w:p>
        </w:tc>
      </w:tr>
    </w:tbl>
    <w:p>
      <w:pPr>
        <w:pStyle w:val="Heading2"/>
        <w:keepNext/>
        <w:spacing w:after="100" w:before="260"/>
      </w:pPr>
      <w:r>
        <w:rPr>
          <w:rFonts w:ascii="Calibri" w:cs="Calibri" w:eastAsia="Calibri" w:hAnsi="Calibri"/>
          <w:b/>
          <w:bCs/>
          <w:sz w:val="25"/>
          <w:szCs w:val="25"/>
        </w:rPr>
        <w:t xml:space="preserve">5.7 Uyum, etik ve işgücü ilişkileri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Açılan insan hakları vakalarının sayısı, türü ve sonucu</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A.7.8</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 vaka (1 çözüldü, 1 inceleme aşamasında)</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 vaka</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Açılan insan hakları vakaları: ayrımcılık (1), iş ortamı (1).</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Toplu iş sözleşmesi kapsamındaki çalışan yüzdesi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A.7.11</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%62</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%62</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Toplu iş sözleşmesi kapsamındaki çalışan oranı (üretim ve lojistik).</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Cinsiyet ücret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1,09</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Kadın ortalama ücreti ÷ erkek ortalama ücreti; unvan grubu içinde kadın ücreti erkeğin yaklaşık %96’sı (bileşim etkisi).</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Çeşitlilik ücret oranları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50+ yaş: 0,99</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50+ yaş grubu ortalama ücreti ÷ diğerleri.</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CEO / medyan çalışan ücret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19,4 kat</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18,2 kat</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CEO yıllık tazminatı (14,4 mn TL, kurgusal) ÷ medyan çalışan yıllık ücreti.</w:t>
            </w:r>
            <w:r>
              <w:rPr>
                <w:rFonts w:ascii="Calibri" w:cs="Calibri" w:eastAsia="Calibri" w:hAnsi="Calibri"/>
                <w:i/>
                <w:iCs/>
                <w:color w:val="8B95A1"/>
                <w:sz w:val="15"/>
                <w:szCs w:val="15"/>
              </w:rPr>
              <w:t xml:space="preserve"> [Ek C verisi + kurgusal CEO ücreti]</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Üst yönetim / medyan çalışan ücret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 kat</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2,8 kat</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Üst yönetim ortalama ücreti ÷ medyan çalışan.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Zorunlu eğitimi tamamlayan uygun çalışan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%96,8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%94,8</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%98</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İSG ve uyum-etik zorunlu eğitimi tamamlayan çalışan oranı.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İşyeri şikâyetlerinin sayısı, türü ve sonucu</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 şikâyet (9 çözüldü)</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 şikâyet</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Türler: iş yükü (5), yönetici davranışı (4), ücret (3), diğer (2).</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Disiplin işlemlerinin sayısı, türü ve sonucu</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A.7.9</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9 işlem</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 işlem</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Uyarı (6), kınama (2), fesih (1).</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Dış uyuşmazlık bulgularının sayısı, türü ve kaynağı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A.7.10</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 bulgu</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 bulgu</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Dış denetim/mahkeme kaynaklı; her ikisi ücret ve hak kaynaklı.</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Seçilmiş/atanmış temsilcilerle temsil edilen çalışan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A.7.12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%62</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%62</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Seçilmiş temsilcilerle temsil edilen çalışan oranı.</w:t>
            </w:r>
            <w:r>
              <w:rPr>
                <w:rFonts w:ascii="Calibri" w:cs="Calibri" w:eastAsia="Calibri" w:hAnsi="Calibri"/>
                <w:i/>
                <w:iCs/>
                <w:color w:val="8B95A1"/>
                <w:sz w:val="15"/>
                <w:szCs w:val="15"/>
              </w:rPr>
              <w:t xml:space="preserve"> [kurgusal]</w:t>
            </w:r>
          </w:p>
        </w:tc>
      </w:tr>
    </w:tbl>
    <w:p>
      <w:pPr>
        <w:pStyle w:val="Heading2"/>
        <w:keepNext/>
        <w:spacing w:after="100" w:before="260"/>
      </w:pPr>
      <w:r>
        <w:rPr>
          <w:rFonts w:ascii="Calibri" w:cs="Calibri" w:eastAsia="Calibri" w:hAnsi="Calibri"/>
          <w:b/>
          <w:bCs/>
          <w:sz w:val="25"/>
          <w:szCs w:val="25"/>
        </w:rPr>
        <w:t xml:space="preserve">5.8 İşe alım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Başvuru → aday dönüşüm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%20,6</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%18,9</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%22</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Nitelikli aday ÷ toplam aday.</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Açık pozisyonları doldurma süresi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47,9 gün</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52,4 gün</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45 gün</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Onaylı talepten teklifin kabulüne; 71 dolan pozisyon.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Kritik pozisyonları doldurma süresi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57,8 gün</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63,0 gün</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55 gün</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12 kritik pozisyon.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Geçerli teklif → kabul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%71,7</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%69,5</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%75</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Kabul edilen teklif ÷ yapılan teklif.</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İşe alım başına kalite</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A.8.6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%103</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%105</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Gerçekleşen ÷ beklenen performans (işe başlayanlar için).</w:t>
            </w:r>
            <w:r>
              <w:rPr>
                <w:rFonts w:ascii="Calibri" w:cs="Calibri" w:eastAsia="Calibri" w:hAnsi="Calibri"/>
                <w:i/>
                <w:iCs/>
                <w:color w:val="8B95A1"/>
                <w:sz w:val="15"/>
                <w:szCs w:val="15"/>
              </w:rPr>
              <w:t xml:space="preserve"> [kurgusal]</w:t>
            </w:r>
          </w:p>
        </w:tc>
      </w:tr>
    </w:tbl>
    <w:p>
      <w:pPr>
        <w:pStyle w:val="Heading2"/>
        <w:keepNext/>
        <w:spacing w:after="100" w:before="260"/>
      </w:pPr>
      <w:r>
        <w:rPr>
          <w:rFonts w:ascii="Calibri" w:cs="Calibri" w:eastAsia="Calibri" w:hAnsi="Calibri"/>
          <w:b/>
          <w:bCs/>
          <w:sz w:val="25"/>
          <w:szCs w:val="25"/>
        </w:rPr>
        <w:t xml:space="preserve">5.9 Hareketlilik ve yedekleme planlaması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İçeriden doldurulan pozisyon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%27</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%24</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%30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İçeriden doldurulan pozisyon yüzdesi.</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Kritik pozisyonların yüzdesi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%24,3</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%23,5</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Kritik pozisyonların toplam içindeki payı.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Kritik pozisyonların içeriden doldurulma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%58</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%52</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%65</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Kritik pozisyonların içeriden doldurulma yüzdesi.</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Boş kritik pozisyonların tüm boş pozisyonlara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%21,1</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%24,0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 %15</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Boş kritik pozisyon ÷ tüm boş pozisyon.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İç hareketlilik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%6,1</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%5,4</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%7,0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İç hareketlilik oranı (terfi ve yatay geçiş).</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Yedek kapsam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%230 (lider başına 2,3 aday)</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%205</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%250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Yedek havuzundaki aday ÷ kritik/lider pozisyon sayısı; 136 kritik pozisyon.</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Yedek derinliği: şimdi hazır (0–12 ay)</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A.9.8</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%29,4</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%24,0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Şimdi hazır en az bir yedeği olan kritik pozisyon oranı.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Yedek derinliği: 1–3 yılda hazır</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A.9.9</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%67,6</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%60,0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%75</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1–3 yılda hazır yedeği olan kritik pozisyon oranı.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Yedekleme etkinlik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A.9.10</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%54</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%49</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İçeriden doldurulan kritik pozisyon ÷ toplam yedekleme.</w:t>
            </w:r>
            <w:r>
              <w:rPr>
                <w:rFonts w:ascii="Calibri" w:cs="Calibri" w:eastAsia="Calibri" w:hAnsi="Calibri"/>
                <w:i/>
                <w:iCs/>
                <w:color w:val="8B95A1"/>
                <w:sz w:val="15"/>
                <w:szCs w:val="15"/>
              </w:rPr>
              <w:t xml:space="preserve"> [kurgusal]</w:t>
            </w:r>
          </w:p>
        </w:tc>
      </w:tr>
    </w:tbl>
    <w:p>
      <w:pPr>
        <w:pStyle w:val="Heading2"/>
        <w:keepNext/>
        <w:spacing w:after="100" w:before="260"/>
      </w:pPr>
      <w:r>
        <w:rPr>
          <w:rFonts w:ascii="Calibri" w:cs="Calibri" w:eastAsia="Calibri" w:hAnsi="Calibri"/>
          <w:b/>
          <w:bCs/>
          <w:sz w:val="25"/>
          <w:szCs w:val="25"/>
        </w:rPr>
        <w:t xml:space="preserve">5.10 İşgücü devri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İşgücü devir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A.10.2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Z</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%14,1</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%15,8</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%13,0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Aylık oranların toplamı; kaba yöntemle %14,1.</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Gönüllü devir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A.10.3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%10,0</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%11,2</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%9,0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48 gönüllü ayrılma (toplam ayrılmanın %70,6’sı).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Gönüllü kritik devir oranı</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A.10.4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%11,0</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%12,6</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%8,0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Kritik pozisyonlarda gönüllü ayrılma.</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Korunan grupların gönüllü devir sayısı ve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A.10.5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Kadın: 21 kişi; %11,5</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%12,0</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Korunan grup örneği: kadın çalışanlar.</w:t>
            </w:r>
            <w:r>
              <w:rPr>
                <w:rFonts w:ascii="Calibri" w:cs="Calibri" w:eastAsia="Calibri" w:hAnsi="Calibri"/>
                <w:i/>
                <w:iCs/>
                <w:color w:val="8B95A1"/>
                <w:sz w:val="15"/>
                <w:szCs w:val="15"/>
              </w:rPr>
              <w:t xml:space="preserve"/>
            </w:r>
          </w:p>
        </w:tc>
      </w:tr>
    </w:tbl>
    <w:p>
      <w:pPr>
        <w:pStyle w:val="Heading2"/>
        <w:keepNext/>
        <w:spacing w:after="100" w:before="260"/>
      </w:pPr>
      <w:r>
        <w:rPr>
          <w:rFonts w:ascii="Calibri" w:cs="Calibri" w:eastAsia="Calibri" w:hAnsi="Calibri"/>
          <w:b/>
          <w:bCs/>
          <w:sz w:val="25"/>
          <w:szCs w:val="25"/>
        </w:rPr>
        <w:t xml:space="preserve">5.11 Beceri, yetkinlik ve gelişim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720"/>
        <w:gridCol w:w="560"/>
        <w:gridCol w:w="1400"/>
        <w:gridCol w:w="1000"/>
        <w:gridCol w:w="820"/>
        <w:gridCol w:w="2858"/>
      </w:tblGrid>
      <w:tr>
        <w:trPr>
          <w:cantSplit/>
          <w:tblHeader/>
        </w:trPr>
        <w:tc>
          <w:tcPr>
            <w:tcW w:type="dxa" w:w="38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
            </w:r>
          </w:p>
        </w:tc>
        <w:tc>
          <w:tcPr>
            <w:tcW w:type="dxa" w:w="19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7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ISO Ek A</w:t>
            </w:r>
          </w:p>
        </w:tc>
        <w:tc>
          <w:tcPr>
            <w:tcW w:type="dxa" w:w="56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Kat.</w:t>
            </w:r>
          </w:p>
        </w:tc>
        <w:tc>
          <w:tcPr>
            <w:tcW w:type="dxa" w:w="1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Dönem</w:t>
            </w:r>
          </w:p>
        </w:tc>
        <w:tc>
          <w:tcPr>
            <w:tcW w:type="dxa" w:w="1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Önceki</w:t>
            </w:r>
          </w:p>
        </w:tc>
        <w:tc>
          <w:tcPr>
            <w:tcW w:type="dxa" w:w="82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Hedef</w:t>
            </w:r>
          </w:p>
        </w:tc>
        <w:tc>
          <w:tcPr>
            <w:tcW w:type="dxa" w:w="285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Yorum / kaynak</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İşgücü üyesi başına ortalama biçimsel eğitim saati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A.11.2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15,6 saat</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13,9 saat</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 saat</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Tamamlanan biçimsel eğitim saati ÷ çalışan sayısı.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Eğitime katılan işgücü yüzdesi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A.11.3</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%100</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%97</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%100</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Zorunlu eğitimler dahil; isteğe bağlı öğrenmeye katılım %68,5.</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Korunan grupların biçimsel eğitim katılım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A.11.4</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%99,5</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%96,8</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Korunan grup örneği: kadın çalışanlar.</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Güncel performans geri bildirimine sahip işgücü yüzdesi</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A.11.5</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%88</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%81</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%95</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Güncel performans geri bildirimi almış çalışan oranı.</w:t>
            </w:r>
            <w:r>
              <w:rPr>
                <w:rFonts w:ascii="Calibri" w:cs="Calibri" w:eastAsia="Calibri" w:hAnsi="Calibri"/>
                <w:i/>
                <w:iCs/>
                <w:color w:val="8B95A1"/>
                <w:sz w:val="15"/>
                <w:szCs w:val="15"/>
              </w:rPr>
              <w:t xml:space="preserve"> [kurgusal]</w:t>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Biçimsel eğitime katılan lider yüzdesi</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A.11.6</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%52,5</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%46,0</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%60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Biçimsel liderlik eğitimine katılan yönetici oranı.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İşgücü yetkinlik oranı</w:t>
            </w:r>
          </w:p>
        </w:tc>
        <w:tc>
          <w:tcPr>
            <w:tcW w:type="dxa" w:w="7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A.11.7</w:t>
            </w:r>
          </w:p>
        </w:tc>
        <w:tc>
          <w:tcPr>
            <w:tcW w:type="dxa" w:w="56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Ö</w:t>
            </w:r>
          </w:p>
        </w:tc>
        <w:tc>
          <w:tcPr>
            <w:tcW w:type="dxa" w:w="14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3,48 / 5</w:t>
            </w:r>
          </w:p>
        </w:tc>
        <w:tc>
          <w:tcPr>
            <w:tcW w:type="dxa" w:w="100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3,41 / 5</w:t>
            </w:r>
          </w:p>
        </w:tc>
        <w:tc>
          <w:tcPr>
            <w:tcW w:type="dxa" w:w="820"/>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9"/>
                <w:szCs w:val="19"/>
              </w:rPr>
              <w:t xml:space="preserve">3,6 / 5</w:t>
            </w:r>
          </w:p>
        </w:tc>
        <w:tc>
          <w:tcPr>
            <w:tcW w:type="dxa" w:w="2858"/>
            <w:tcBorders>
              <w:top w:val="single" w:color="BFC8D2" w:sz="4"/>
              <w:left w:val="single" w:color="BFC8D2" w:sz="4"/>
              <w:bottom w:val="single" w:color="BFC8D2" w:sz="4"/>
              <w:right w:val="single" w:color="BFC8D2" w:sz="4"/>
            </w:tcBorders>
            <w:shd w:fill="F3F6F9" w:color="auto" w:val="clear"/>
            <w:tcMar>
              <w:top w:type="dxa" w:w="60"/>
              <w:left w:type="dxa" w:w="90"/>
              <w:bottom w:type="dxa" w:w="60"/>
              <w:right w:type="dxa" w:w="90"/>
            </w:tcMar>
            <w:vAlign w:val="top"/>
          </w:tcPr>
          <w:p>
            <w:pPr>
              <w:spacing w:after="0" w:line="250"/>
            </w:pPr>
            <w:r>
              <w:rPr>
                <w:rFonts w:ascii="Calibri" w:cs="Calibri" w:eastAsia="Calibri" w:hAnsi="Calibri"/>
                <w:sz w:val="17"/>
                <w:szCs w:val="17"/>
              </w:rPr>
              <w:t xml:space="preserve">Çalışan yetkinlik puanlarının ortalaması.</w:t>
            </w:r>
            <w:r>
              <w:rPr>
                <w:rFonts w:ascii="Calibri" w:cs="Calibri" w:eastAsia="Calibri" w:hAnsi="Calibri"/>
                <w:i/>
                <w:iCs/>
                <w:color w:val="8B95A1"/>
                <w:sz w:val="15"/>
                <w:szCs w:val="15"/>
              </w:rPr>
              <w:t xml:space="preserve"/>
            </w:r>
          </w:p>
        </w:tc>
      </w:tr>
      <w:tr>
        <w:trPr>
          <w:cantSplit/>
        </w:trPr>
        <w:tc>
          <w:tcPr>
            <w:tcW w:type="dxa" w:w="38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w:t>
            </w:r>
          </w:p>
        </w:tc>
        <w:tc>
          <w:tcPr>
            <w:tcW w:type="dxa" w:w="19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Kuruma özgü metrikler (own metrics)</w:t>
            </w:r>
          </w:p>
        </w:tc>
        <w:tc>
          <w:tcPr>
            <w:tcW w:type="dxa" w:w="7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A.12</w:t>
            </w:r>
          </w:p>
        </w:tc>
        <w:tc>
          <w:tcPr>
            <w:tcW w:type="dxa" w:w="56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sz w:val="19"/>
                <w:szCs w:val="19"/>
              </w:rPr>
              <w:t xml:space="preserve">K</w:t>
            </w:r>
          </w:p>
        </w:tc>
        <w:tc>
          <w:tcPr>
            <w:tcW w:type="dxa" w:w="1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Ramak kala bildirimi: 142</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118</w:t>
            </w:r>
          </w:p>
        </w:tc>
        <w:tc>
          <w:tcPr>
            <w:tcW w:type="dxa" w:w="82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9"/>
                <w:szCs w:val="19"/>
              </w:rPr>
              <w:t xml:space="preserve">160</w:t>
            </w:r>
          </w:p>
        </w:tc>
        <w:tc>
          <w:tcPr>
            <w:tcW w:type="dxa" w:w="285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sz w:val="17"/>
                <w:szCs w:val="17"/>
              </w:rPr>
              <w:t xml:space="preserve">Kuruma özgü metrik; İSG kültürünün öncü göstergesi.</w:t>
            </w:r>
            <w:r>
              <w:rPr>
                <w:rFonts w:ascii="Calibri" w:cs="Calibri" w:eastAsia="Calibri" w:hAnsi="Calibri"/>
                <w:i/>
                <w:iCs/>
                <w:color w:val="8B95A1"/>
                <w:sz w:val="15"/>
                <w:szCs w:val="15"/>
              </w:rPr>
              <w:t xml:space="preserve"> [kurgusal]</w:t>
            </w:r>
          </w:p>
        </w:tc>
      </w:tr>
    </w:tbl>
    <w:p>
      <w:pPr>
        <w:pStyle w:val="Heading1"/>
        <w:keepNext/>
        <w:spacing w:after="140" w:before="360"/>
      </w:pPr>
      <w:r>
        <w:rPr>
          <w:rFonts w:ascii="Calibri" w:cs="Calibri" w:eastAsia="Calibri" w:hAnsi="Calibri"/>
          <w:b/>
          <w:bCs/>
          <w:color w:val="0B5C8A"/>
          <w:sz w:val="32"/>
          <w:szCs w:val="32"/>
        </w:rPr>
        <w:t xml:space="preserve">6. TML Düzeylerine Göre Ayrıştırma</w:t>
      </w:r>
    </w:p>
    <w:p>
      <w:pPr>
        <w:spacing w:after="110" w:line="276"/>
      </w:pPr>
      <w:r>
        <w:rPr>
          <w:rFonts w:ascii="Calibri" w:cs="Calibri" w:eastAsia="Calibri" w:hAnsi="Calibri"/>
          <w:color w:val="59636F"/>
          <w:sz w:val="19"/>
          <w:szCs w:val="19"/>
        </w:rPr>
        <w:t xml:space="preserve">T = üst yönetici (10 kişi), M = yönetici (74 kişi), L = diğer çalışanlar (394 kişi). Ayrıştırma, Ek C veri setindeki unvan grubuna göre yapılmıştır.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1738"/>
      </w:tblGrid>
      <w:tr>
        <w:trPr>
          <w:cantSplit/>
          <w:tblHeader/>
        </w:trPr>
        <w:tc>
          <w:tcPr>
            <w:tcW w:type="dxa" w:w="34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Metrik</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M</w:t>
            </w:r>
          </w:p>
        </w:tc>
        <w:tc>
          <w:tcPr>
            <w:tcW w:type="dxa" w:w="15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L</w:t>
            </w:r>
          </w:p>
        </w:tc>
        <w:tc>
          <w:tcPr>
            <w:tcW w:type="dxa" w:w="17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Toplam</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Kadın çalışan payı (%)</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60,0</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45,9</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35,3</w:t>
            </w:r>
          </w:p>
        </w:tc>
        <w:tc>
          <w:tcPr>
            <w:tcW w:type="dxa" w:w="17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37,5</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Gönüllü devir oranı (%)</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10,1</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13,0</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9,4</w:t>
            </w:r>
          </w:p>
        </w:tc>
        <w:tc>
          <w:tcPr>
            <w:tcW w:type="dxa" w:w="17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10,0</w:t>
            </w:r>
          </w:p>
        </w:tc>
      </w:tr>
      <w:tr>
        <w:trPr>
          <w:cantSplit/>
        </w:trPr>
        <w:tc>
          <w:tcPr>
            <w:tcW w:type="dxa" w:w="34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Çalışan başına eğitim saati</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17,5</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21,4</w:t>
            </w:r>
          </w:p>
        </w:tc>
        <w:tc>
          <w:tcPr>
            <w:tcW w:type="dxa" w:w="15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14,3</w:t>
            </w:r>
          </w:p>
        </w:tc>
        <w:tc>
          <w:tcPr>
            <w:tcW w:type="dxa" w:w="17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jc w:val="center"/>
            </w:pPr>
            <w:r>
              <w:rPr>
                <w:rFonts w:ascii="Calibri" w:cs="Calibri" w:eastAsia="Calibri" w:hAnsi="Calibri"/>
                <w:b w:val="false"/>
                <w:bCs w:val="false"/>
                <w:sz w:val="19"/>
                <w:szCs w:val="19"/>
              </w:rPr>
              <w:t xml:space="preserve">15,6</w:t>
            </w:r>
          </w:p>
        </w:tc>
      </w:tr>
    </w:tbl>
    <w:p>
      <w:pPr>
        <w:spacing w:after="110" w:line="276"/>
      </w:pPr>
      <w:r>
        <w:rPr>
          <w:rFonts w:ascii="Calibri" w:cs="Calibri" w:eastAsia="Calibri" w:hAnsi="Calibri"/>
          <w:sz w:val="19"/>
          <w:szCs w:val="19"/>
        </w:rPr>
        <w:t xml:space="preserve">Yorum: yöneticiler (M) en yüksek gönüllü devire (%13,0) ve en yüksek eğitim saatine sahiptir; liderlik kadrosunda (T) kadın payı %60’tır, ancak grup yalnızca 10 kişidir ve oranlar dalgalı okunmalıdır.</w:t>
      </w:r>
    </w:p>
    <w:p>
      <w:pPr>
        <w:pStyle w:val="Heading1"/>
        <w:keepNext/>
        <w:spacing w:after="140" w:before="360"/>
      </w:pPr>
      <w:r>
        <w:rPr>
          <w:rFonts w:ascii="Calibri" w:cs="Calibri" w:eastAsia="Calibri" w:hAnsi="Calibri"/>
          <w:b/>
          <w:bCs/>
          <w:color w:val="0B5C8A"/>
          <w:sz w:val="32"/>
          <w:szCs w:val="32"/>
        </w:rPr>
        <w:t xml:space="preserve">7. Yöntem Notu ve Tanımlar</w:t>
      </w:r>
    </w:p>
    <w:p>
      <w:pPr>
        <w:spacing w:after="110" w:line="276"/>
      </w:pPr>
      <w:r>
        <w:rPr>
          <w:rFonts w:ascii="Calibri" w:cs="Calibri" w:eastAsia="Calibri" w:hAnsi="Calibri"/>
          <w:b/>
          <w:bCs/>
          <w:sz w:val="21"/>
          <w:szCs w:val="21"/>
        </w:rPr>
        <w:t xml:space="preserve">İşgücü ve FTE tanımı. </w:t>
      </w:r>
      <w:r>
        <w:rPr>
          <w:rFonts w:ascii="Calibri" w:cs="Calibri" w:eastAsia="Calibri" w:hAnsi="Calibri"/>
          <w:sz w:val="21"/>
          <w:szCs w:val="21"/>
        </w:rPr>
        <w:t xml:space="preserve">İşgücü; çalışanlar ile contingent işgücünü (bağımsız yüklenici, ajans) kapsar. FTE = tam zamanlı ve geçici çalışan sayısı + yarı zamanlıların haftalık saati ÷ 45 saat. Headcount yalnızca tamamlayıcıdır.</w:t>
      </w:r>
    </w:p>
    <w:p>
      <w:pPr>
        <w:spacing w:after="110" w:line="276"/>
      </w:pPr>
      <w:r>
        <w:rPr>
          <w:rFonts w:ascii="Calibri" w:cs="Calibri" w:eastAsia="Calibri" w:hAnsi="Calibri"/>
          <w:b/>
          <w:bCs/>
          <w:sz w:val="21"/>
          <w:szCs w:val="21"/>
        </w:rPr>
        <w:t xml:space="preserve">Veri kaynakları. </w:t>
      </w:r>
      <w:r>
        <w:rPr>
          <w:rFonts w:ascii="Calibri" w:cs="Calibri" w:eastAsia="Calibri" w:hAnsi="Calibri"/>
          <w:sz w:val="21"/>
          <w:szCs w:val="21"/>
        </w:rPr>
        <w:t xml:space="preserve">Çalışan, işe alım, eğitim, anket, İSG ve finans verileri İK bilgi sistemi, ATS, öğrenme yönetim sistemi, İSG kayıtları ve muhasebe sisteminden alınmıştır (kurgusal; gerçekte Ek C yapay veri setidir).</w:t>
      </w:r>
    </w:p>
    <w:p>
      <w:pPr>
        <w:spacing w:after="110" w:line="276"/>
      </w:pPr>
      <w:r>
        <w:rPr>
          <w:rFonts w:ascii="Calibri" w:cs="Calibri" w:eastAsia="Calibri" w:hAnsi="Calibri"/>
          <w:b/>
          <w:bCs/>
          <w:sz w:val="21"/>
          <w:szCs w:val="21"/>
        </w:rPr>
        <w:t xml:space="preserve">Hesaplama yöntemleri. </w:t>
      </w:r>
      <w:r>
        <w:rPr>
          <w:rFonts w:ascii="Calibri" w:cs="Calibri" w:eastAsia="Calibri" w:hAnsi="Calibri"/>
          <w:sz w:val="21"/>
          <w:szCs w:val="21"/>
        </w:rPr>
        <w:t xml:space="preserve">Devir oranı aylık oranların toplamı olarak hesaplanmıştır (kaba yöntemle %14,1). İşe alım süresi onaylı talepten teklifin kabulüne kadar geçen gündür. HCROI formülü Ek B’dedir.</w:t>
      </w:r>
    </w:p>
    <w:p>
      <w:pPr>
        <w:spacing w:after="110" w:line="276"/>
      </w:pPr>
      <w:r>
        <w:rPr>
          <w:rFonts w:ascii="Calibri" w:cs="Calibri" w:eastAsia="Calibri" w:hAnsi="Calibri"/>
          <w:b/>
          <w:bCs/>
          <w:sz w:val="21"/>
          <w:szCs w:val="21"/>
        </w:rPr>
        <w:t xml:space="preserve">Veri kalitesi. </w:t>
      </w:r>
      <w:r>
        <w:rPr>
          <w:rFonts w:ascii="Calibri" w:cs="Calibri" w:eastAsia="Calibri" w:hAnsi="Calibri"/>
          <w:sz w:val="21"/>
          <w:szCs w:val="21"/>
        </w:rPr>
        <w:t xml:space="preserve">ISO 30435 boyutlarına göre denetim yapılmıştır: zorunlu alan tamlığı %99,1, tutarlılık %99,1, örneklem doğruluğu %97,0. Yinelenen 3 kayıt silinmiş, tarihleri tutarsız 2 kayıt analiz dışı bırakılmıştır.</w:t>
      </w:r>
    </w:p>
    <w:p>
      <w:pPr>
        <w:spacing w:after="110" w:line="276"/>
      </w:pPr>
      <w:r>
        <w:rPr>
          <w:rFonts w:ascii="Calibri" w:cs="Calibri" w:eastAsia="Calibri" w:hAnsi="Calibri"/>
          <w:b/>
          <w:bCs/>
          <w:sz w:val="21"/>
          <w:szCs w:val="21"/>
        </w:rPr>
        <w:t xml:space="preserve">Gizlilik ve güvenlik. </w:t>
      </w:r>
      <w:r>
        <w:rPr>
          <w:rFonts w:ascii="Calibri" w:cs="Calibri" w:eastAsia="Calibri" w:hAnsi="Calibri"/>
          <w:sz w:val="21"/>
          <w:szCs w:val="21"/>
        </w:rPr>
        <w:t xml:space="preserve">10’dan küçük gruplar için ayrıştırılmış oran verilmemiştir. Anket yanıtları anonimdir ve birim düzeyinde (en az 10 yanıt) raporlanmıştır.</w:t>
      </w:r>
    </w:p>
    <w:p>
      <w:pPr>
        <w:pStyle w:val="Heading1"/>
        <w:keepNext/>
        <w:spacing w:after="140" w:before="360"/>
      </w:pPr>
      <w:r>
        <w:rPr>
          <w:rFonts w:ascii="Calibri" w:cs="Calibri" w:eastAsia="Calibri" w:hAnsi="Calibri"/>
          <w:b/>
          <w:bCs/>
          <w:color w:val="0B5C8A"/>
          <w:sz w:val="32"/>
          <w:szCs w:val="32"/>
        </w:rPr>
        <w:t xml:space="preserve">8. Sınırlamalar ve Bağlam</w:t>
      </w:r>
    </w:p>
    <w:p>
      <w:pPr>
        <w:spacing w:after="110" w:line="276"/>
      </w:pPr>
      <w:r>
        <w:rPr>
          <w:rFonts w:ascii="Calibri" w:cs="Calibri" w:eastAsia="Calibri" w:hAnsi="Calibri"/>
          <w:sz w:val="21"/>
          <w:szCs w:val="21"/>
        </w:rPr>
        <w:t xml:space="preserve">Önceki dönem ve hedef değerleri kurgusal olduğundan eğilim yorumları yalnızca biçimi göstermek içindir. Küçük gruplarda (ör. üst yönetim, 10 kişi) oranlar dalgalıdır. Cinsiyet ücret oranı (1,10) kadınların yönetici ve uzman unvanlarında yoğunlaşmasından etkilenir; unvan grubu içinde karşılaştırma gerekir. Bazı metrikler (insan hakları vakaları, toplu sözleşme kapsamı, contingent işgücü) kurgusal varsayımlara dayanır.</w:t>
      </w:r>
    </w:p>
    <w:p>
      <w:pPr>
        <w:spacing w:after="110" w:line="276"/>
      </w:pPr>
      <w:r>
        <w:rPr>
          <w:rFonts w:ascii="Calibri" w:cs="Calibri" w:eastAsia="Calibri" w:hAnsi="Calibri"/>
          <w:b/>
          <w:bCs/>
          <w:sz w:val="21"/>
          <w:szCs w:val="21"/>
        </w:rPr>
        <w:t xml:space="preserve">İyileştirme eylemleri: </w:t>
      </w:r>
      <w:r>
        <w:rPr>
          <w:rFonts w:ascii="Calibri" w:cs="Calibri" w:eastAsia="Calibri" w:hAnsi="Calibri"/>
          <w:sz w:val="21"/>
          <w:szCs w:val="21"/>
        </w:rPr>
        <w:t xml:space="preserve">(1) Kritik pozisyonlar için yedek havuzunun genişletilmesi (özellikle Finans); (2) üretim biriminde devir ve bağlılık eylem planı; (3) ramak kala bildirimlerinin artırılması ve kaza oranı hedefi; (4) yöneticiler için liderlik eğitimi katılımının %60’a çıkarılması.</w:t>
      </w:r>
    </w:p>
    <w:p>
      <w:pPr>
        <w:pStyle w:val="Heading1"/>
        <w:keepNext/>
        <w:spacing w:after="140" w:before="360"/>
      </w:pPr>
      <w:r>
        <w:rPr>
          <w:rFonts w:ascii="Calibri" w:cs="Calibri" w:eastAsia="Calibri" w:hAnsi="Calibri"/>
          <w:b/>
          <w:bCs/>
          <w:color w:val="0B5C8A"/>
          <w:sz w:val="32"/>
          <w:szCs w:val="32"/>
        </w:rPr>
        <w:t xml:space="preserve">9. Onay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200"/>
        <w:gridCol w:w="1638"/>
      </w:tblGrid>
      <w:tr>
        <w:trPr>
          <w:cantSplit/>
          <w:tblHeader/>
        </w:trPr>
        <w:tc>
          <w:tcPr>
            <w:tcW w:type="dxa" w:w="28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Rol</w:t>
            </w:r>
          </w:p>
        </w:tc>
        <w:tc>
          <w:tcPr>
            <w:tcW w:type="dxa" w:w="30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Ad Soyad</w:t>
            </w:r>
          </w:p>
        </w:tc>
        <w:tc>
          <w:tcPr>
            <w:tcW w:type="dxa" w:w="2200"/>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İmza</w:t>
            </w:r>
          </w:p>
        </w:tc>
        <w:tc>
          <w:tcPr>
            <w:tcW w:type="dxa" w:w="1638"/>
            <w:tcBorders>
              <w:top w:val="single" w:color="BFC8D2" w:sz="4"/>
              <w:left w:val="single" w:color="BFC8D2" w:sz="4"/>
              <w:bottom w:val="single" w:color="BFC8D2" w:sz="4"/>
              <w:right w:val="single" w:color="BFC8D2" w:sz="4"/>
            </w:tcBorders>
            <w:shd w:fill="0B5C8A" w:color="auto" w:val="clear"/>
            <w:tcMar>
              <w:top w:type="dxa" w:w="60"/>
              <w:left w:type="dxa" w:w="90"/>
              <w:bottom w:type="dxa" w:w="60"/>
              <w:right w:type="dxa" w:w="90"/>
            </w:tcMar>
            <w:vAlign w:val="top"/>
          </w:tcPr>
          <w:p>
            <w:pPr>
              <w:spacing w:after="0" w:line="250"/>
            </w:pPr>
            <w:r>
              <w:rPr>
                <w:rFonts w:ascii="Calibri" w:cs="Calibri" w:eastAsia="Calibri" w:hAnsi="Calibri"/>
                <w:b/>
                <w:bCs/>
                <w:color w:val="FFFFFF"/>
                <w:sz w:val="19"/>
                <w:szCs w:val="19"/>
              </w:rPr>
              <w:t xml:space="preserve">Tarih</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Hazırlayan</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Zeynep Kaya</w:t>
            </w:r>
          </w:p>
        </w:tc>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e-imza</w:t>
            </w:r>
          </w:p>
        </w:tc>
        <w:tc>
          <w:tcPr>
            <w:tcW w:type="dxa" w:w="1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25.02.2026</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İK direktörü (CHRO)</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Murat Demir</w:t>
            </w:r>
          </w:p>
        </w:tc>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e-imza</w:t>
            </w:r>
          </w:p>
        </w:tc>
        <w:tc>
          <w:tcPr>
            <w:tcW w:type="dxa" w:w="1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26.02.2026</w:t>
            </w:r>
          </w:p>
        </w:tc>
      </w:tr>
      <w:tr>
        <w:trPr>
          <w:cantSplit/>
        </w:trPr>
        <w:tc>
          <w:tcPr>
            <w:tcW w:type="dxa" w:w="28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bCs/>
                <w:sz w:val="19"/>
                <w:szCs w:val="19"/>
              </w:rPr>
              <w:t xml:space="preserve">Üst yönetim</w:t>
            </w:r>
          </w:p>
        </w:tc>
        <w:tc>
          <w:tcPr>
            <w:tcW w:type="dxa" w:w="30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Genel Müdür (kurgusal)</w:t>
            </w:r>
          </w:p>
        </w:tc>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e-imza</w:t>
            </w:r>
          </w:p>
        </w:tc>
        <w:tc>
          <w:tcPr>
            <w:tcW w:type="dxa" w:w="1638"/>
            <w:tcBorders>
              <w:top w:val="single" w:color="BFC8D2" w:sz="4"/>
              <w:left w:val="single" w:color="BFC8D2" w:sz="4"/>
              <w:bottom w:val="single" w:color="BFC8D2" w:sz="4"/>
              <w:right w:val="single" w:color="BFC8D2" w:sz="4"/>
            </w:tcBorders>
            <w:tcMar>
              <w:top w:type="dxa" w:w="60"/>
              <w:left w:type="dxa" w:w="90"/>
              <w:bottom w:type="dxa" w:w="60"/>
              <w:right w:type="dxa" w:w="90"/>
            </w:tcMar>
            <w:vAlign w:val="top"/>
          </w:tcPr>
          <w:p>
            <w:pPr>
              <w:spacing w:after="0" w:line="250"/>
            </w:pPr>
            <w:r>
              <w:rPr>
                <w:rFonts w:ascii="Calibri" w:cs="Calibri" w:eastAsia="Calibri" w:hAnsi="Calibri"/>
                <w:b w:val="false"/>
                <w:bCs w:val="false"/>
                <w:sz w:val="19"/>
                <w:szCs w:val="19"/>
              </w:rPr>
              <w:t xml:space="preserve">27.02.2026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95A1"/>
        <w:sz w:val="16"/>
        <w:szCs w:val="16"/>
      </w:rPr>
      <w:t xml:space="preserve">Sayfa </w:t>
    </w:r>
    <w:r>
      <w:rPr>
        <w:rFonts w:ascii="Calibri" w:cs="Calibri" w:eastAsia="Calibri" w:hAnsi="Calibri"/>
        <w:color w:val="8B95A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95A1"/>
        <w:sz w:val="16"/>
        <w:szCs w:val="16"/>
      </w:rPr>
      <w:t xml:space="preserve">Örnek Anonim Sanayi A.Ş. — İç İnsan Sermayesi Raporu 2025 (kurgusal örnek)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B5C8A"/>
      <w:sz w:val="32"/>
      <w:szCs w:val="32"/>
    </w:rPr>
  </w:style>
  <w:style w:type="paragraph" w:styleId="Heading2">
    <w:name w:val="Heading 2"/>
    <w:basedOn w:val="Normal"/>
    <w:next w:val="Normal"/>
    <w:qFormat/>
    <w:pPr>
      <w:spacing w:after="100" w:before="26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2026-10-13T07:38:08.001Z</dcterms:created>
  <dcterms:modified xsi:type="dcterms:W3CDTF">2026-10-13T07:38:08.001Z</dcterms:modified>
</cp:coreProperties>
</file>

<file path=docProps/custom.xml><?xml version="1.0" encoding="utf-8"?>
<Properties xmlns="http://schemas.openxmlformats.org/officeDocument/2006/custom-properties" xmlns:vt="http://schemas.openxmlformats.org/officeDocument/2006/docPropsVTypes"/>
</file>