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B5C8A"/>
          <w:sz w:val="22"/>
          <w:szCs w:val="22"/>
        </w:rPr>
        <w:t xml:space="preserve">KISIM 6</w:t>
      </w:r>
    </w:p>
    <w:p>
      <w:pPr>
        <w:pStyle w:val="Title"/>
        <w:spacing w:after="200"/>
      </w:pPr>
      <w:r>
        <w:rPr>
          <w:rFonts w:ascii="Calibri" w:cs="Calibri" w:eastAsia="Calibri" w:hAnsi="Calibri"/>
          <w:b/>
          <w:bCs/>
          <w:sz w:val="48"/>
          <w:szCs w:val="48"/>
        </w:rPr>
        <w:t xml:space="preserve">Verimlilik ve Maliyet</w:t>
      </w:r>
    </w:p>
    <w:p>
      <w:pPr>
        <w:keepNext/>
        <w:pBdr>
          <w:bottom w:val="single" w:color="0B5C8A" w:sz="8" w:space="6"/>
        </w:pBdr>
        <w:spacing w:after="220"/>
      </w:pPr>
      <w:r>
        <w:rPr>
          <w:rFonts w:ascii="Calibri" w:cs="Calibri" w:eastAsia="Calibri" w:hAnsi="Calibri"/>
          <w:i/>
          <w:iCs/>
          <w:color w:val="59636F"/>
          <w:sz w:val="26"/>
          <w:szCs w:val="26"/>
        </w:rPr>
        <w:t xml:space="preserve">İnsan sermayesi yatırımının getirisi ve toplam maliyet görünümü.</w:t>
      </w:r>
    </w:p>
    <w:p>
      <w:pPr>
        <w:spacing w:after="140" w:line="288"/>
        <w:jc w:val="left"/>
      </w:pPr>
      <w:r>
        <w:rPr>
          <w:rFonts w:ascii="Calibri" w:cs="Calibri" w:eastAsia="Calibri" w:hAnsi="Calibri"/>
          <w:sz w:val="22"/>
          <w:szCs w:val="22"/>
        </w:rPr>
        <w:t xml:space="preserve">Bu el kitabının ilk beş kısmı, bir kurumun işgücünü nasıl planladığını, işe aldığını, geliştirdiğini ve elinde tuttuğunu ölçmeyi anlattı. Bu son kısım, hepsini bir araya getiren iki soruyu sorar: Bu insanlar kurum için ne kadar değer üretiyor ve bu değer ne kadara mal oluyor? Soruların ikisi de sıradan görünür; ama ikisi birlikte, insan kaynakları yatırımını finans diliyle konuşan bir yönetim kuruluna anlatmanın temelini oluşturur.</w:t>
      </w:r>
    </w:p>
    <w:p>
      <w:pPr>
        <w:spacing w:after="140" w:line="288"/>
        <w:jc w:val="left"/>
      </w:pPr>
      <w:r>
        <w:rPr>
          <w:rFonts w:ascii="Calibri" w:cs="Calibri" w:eastAsia="Calibri" w:hAnsi="Calibri"/>
          <w:sz w:val="22"/>
          <w:szCs w:val="22"/>
        </w:rPr>
        <w:t xml:space="preserve">İnsan sermayesini bir maliyet kalemi olarak görmek ile bir yatırım olarak görmek arasındaki fark, yalnızca bir bakış açısı farkı değildir. Maliyet yaklaşımı “ne kadar harcıyoruz?” sorusuyla yetinir ve harcamayı azaltmayı hedefler. Yatırım yaklaşımı ise “harcadığımıza karşılık ne elde ediyoruz?” sorusunu da ekler. Bu iki soru ancak birlikte sorulduğunda anlam kazanır: Yüksek maliyetle yüksek değer üreten bir kurum ile düşük maliyetle düşük değer üreten bir kurumun hangisinin daha iyi olduğu, yalnızca iki sayıya bakarak söylenemez.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3000"/>
        <w:gridCol w:w="2438"/>
      </w:tblGrid>
      <w:tr>
        <w:trPr>
          <w:cantSplit/>
          <w:tblHeader/>
        </w:trPr>
        <w:tc>
          <w:tcPr>
            <w:tcW w:type="dxa" w:w="2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Bölüm</w:t>
            </w:r>
          </w:p>
        </w:tc>
        <w:tc>
          <w:tcPr>
            <w:tcW w:type="dxa" w:w="1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Temel soru</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Ana çıktı</w:t>
            </w:r>
          </w:p>
        </w:tc>
      </w:tr>
      <w:tr>
        <w:trPr>
          <w:cantSplit/>
        </w:trPr>
        <w:tc>
          <w:tcPr>
            <w:tcW w:type="dxa" w:w="2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6.1  İşgücü Üretkenliği Metrikleri Kümesi</w:t>
            </w:r>
          </w:p>
        </w:tc>
        <w:tc>
          <w:tcPr>
            <w:tcW w:type="dxa" w:w="1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ne kadar değer üretiyor ve bu değer işgücüne harcanan paraya oranla ne kadar?</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EBIT, gelir ve kâr; insan sermayesi getirisi (HC RoI)</w:t>
            </w:r>
          </w:p>
        </w:tc>
      </w:tr>
      <w:tr>
        <w:trPr>
          <w:cantSplit/>
        </w:trPr>
        <w:tc>
          <w:tcPr>
            <w:tcW w:type="dxa" w:w="2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6.2  Maliyet Metrikleri Kümesi</w:t>
            </w:r>
          </w:p>
        </w:tc>
        <w:tc>
          <w:tcPr>
            <w:tcW w:type="dxa" w:w="1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bize ne kadara mal oluyor, hangi kalemlerden oluşuyor?</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maliyeti, dış işgücü maliyeti, ücret oranı, toplam istihdam maliyeti</w:t>
            </w:r>
          </w:p>
        </w:tc>
      </w:tr>
    </w:tbl>
    <w:p>
      <w:pPr>
        <w:spacing w:after="140"/>
      </w:pPr>
    </w:p>
    <w:p>
      <w:pPr>
        <w:pStyle w:val="Heading3"/>
        <w:keepNext/>
        <w:spacing w:after="80" w:before="220"/>
      </w:pPr>
      <w:r>
        <w:rPr>
          <w:rFonts w:ascii="Calibri" w:cs="Calibri" w:eastAsia="Calibri" w:hAnsi="Calibri"/>
          <w:b/>
          <w:bCs/>
          <w:color w:val="0B5C8A"/>
          <w:sz w:val="23"/>
          <w:szCs w:val="23"/>
        </w:rPr>
        <w:t xml:space="preserve">İki taraflı bir bakış: değer ve bedel</w:t>
      </w:r>
    </w:p>
    <w:p>
      <w:pPr>
        <w:spacing w:after="140" w:line="288"/>
        <w:jc w:val="left"/>
      </w:pPr>
      <w:r>
        <w:rPr>
          <w:rFonts w:ascii="Calibri" w:cs="Calibri" w:eastAsia="Calibri" w:hAnsi="Calibri"/>
          <w:sz w:val="22"/>
          <w:szCs w:val="22"/>
        </w:rPr>
        <w:t xml:space="preserve">İki rehber, aynı denklemin iki yüzüdür. ISO/TS 30432 üretilen değeri çalışan başına ve işgücü maliyetine oranla ifade eder; ISO/TS 30427 ise bu oranın paydasındaki işgücü maliyetinin bileşenlerini ayrıştırır. İnsan sermayesi getirisi (HC RoI) formülünün paydası olan toplam işgücü maliyeti (TCOW), 6.2’de tanımlanan toplam işgücü maliyetinin kendisidir. Bu yüzden iki bölüm birlikte okunmalıdır: 6.2’nin tanımı olmadan 6.1’deki getiri oranı farklı kurumlarda farklı paydalarla hesaplanır; 6.1’in oranı olmadan 6.2’deki maliyet rakamı tek başına “yüksek” ya da “düşük” diye değerlendirilemez.</w:t>
      </w:r>
    </w:p>
    <w:p>
      <w:pPr>
        <w:spacing w:after="140" w:line="288"/>
        <w:jc w:val="left"/>
      </w:pPr>
      <w:r>
        <w:rPr>
          <w:rFonts w:ascii="Calibri" w:cs="Calibri" w:eastAsia="Calibri" w:hAnsi="Calibri"/>
          <w:sz w:val="22"/>
          <w:szCs w:val="22"/>
        </w:rPr>
        <w:t xml:space="preserve">Her ikisi de ISO 30414’ün kurumsal insan sermayesi raporlamasında yer alan göstergeleri ayrıntılandırır; dolayısıyla Kısım 1’de anlatılan dış raporlama ilkeleri (önemlilik, karşılaştırılabilirlik, yöntem dipnotu) burada da geçerlidir. Önceki kısımların her biri de bu iki bölümle bağlanır: İşe alım başına maliyet (Kısım 3) ve devir maliyeti (Kısım 5) toplam işgücü maliyetinin bileşenleridir; öğrenme yatırımı (Kısım 4) istihdam maliyetinin bir parçasıdır; çalışan bağlılığı ve sağlığı (Kısım 5) üretkenliği etkileyen koşullardır.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Bu kısımdaki örnekler hakkında</w:t>
            </w:r>
          </w:p>
          <w:p>
            <w:pPr>
              <w:spacing w:after="0" w:line="276"/>
            </w:pPr>
            <w:r>
              <w:rPr>
                <w:rFonts w:ascii="Calibri" w:cs="Calibri" w:eastAsia="Calibri" w:hAnsi="Calibri"/>
                <w:sz w:val="21"/>
                <w:szCs w:val="21"/>
              </w:rPr>
              <w:t xml:space="preserve">Şirket adı (Anadolu Örnek A.Ş.), tutarlar ve vakalar eğitim amaçlı kurgudur; gerçek bir kuruma ait değildir. Standartların kendi örneklerinden alınan sayılar (ör. insan sermayesi getirisi %50 örneği ve işgücü maliyeti tablosu) ayrıca belirtilmiştir. Rehber sayfalarındaki hesaplayıcılarla aynı hesapları kendi verinizle yapabilirsiniz; ayrıntılar için Ek C’ye bakın.</w:t>
            </w:r>
          </w:p>
        </w:tc>
      </w:tr>
    </w:tbl>
    <w:p>
      <w:pPr>
        <w:spacing w:after="120"/>
      </w:pPr>
    </w:p>
    <w:p>
      <w:pPr>
        <w:pStyle w:val="Heading1"/>
        <w:keepNext/>
        <w:pageBreakBefore/>
        <w:spacing w:after="100" w:before="0"/>
      </w:pPr>
      <w:r>
        <w:rPr>
          <w:rFonts w:ascii="Calibri" w:cs="Calibri" w:eastAsia="Calibri" w:hAnsi="Calibri"/>
          <w:b/>
          <w:bCs/>
          <w:color w:val="0B5C8A"/>
          <w:sz w:val="34"/>
          <w:szCs w:val="34"/>
        </w:rPr>
        <w:t xml:space="preserve">6.1  İşgücü Üretkenliği Metrikleri Kümesi</w:t>
      </w:r>
    </w:p>
    <w:p>
      <w:pPr>
        <w:keepNext/>
        <w:pBdr>
          <w:bottom w:val="single" w:color="0B5C8A" w:sz="8" w:space="6"/>
        </w:pBdr>
        <w:spacing w:after="220"/>
      </w:pPr>
      <w:r>
        <w:rPr>
          <w:rFonts w:ascii="Calibri" w:cs="Calibri" w:eastAsia="Calibri" w:hAnsi="Calibri"/>
          <w:i/>
          <w:iCs/>
          <w:color w:val="59636F"/>
          <w:sz w:val="26"/>
          <w:szCs w:val="26"/>
        </w:rPr>
        <w:t xml:space="preserve">ISO/TS 30432:2021 — Çalışan başına EBIT, gelir ve kâr; insan sermayesi getirisi.</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30432, ISO 30414’ün üretkenlik kümesini ayrıntılandıran bir teknik şartnamedir. İki ana metrik ailesi tanımlar: çalışan başına EBIT, gelir, ciro ve kâr ile insan sermayesi getirisi (Human Capital Return on Investment, HC RoI). Her ikisini de üç ayrı kurum türü için ele alır: kâr amaçlı kurumlar, sivil toplum kuruluşları ve kâr amacı gütmeyen kuruluşlar ve kamu kurumları. Her metrik için tanım, amaç, formül, kullanım biçimi, hedef kullanıcılar, bağlam etkenleri ve öngörü etkenleri verilir. Belgenin sonunda çalışan başına gelir, kâr ve EBIT için ayrı formüller ek ölçüt olarak sunulur.</w:t>
      </w:r>
    </w:p>
    <w:p>
      <w:pPr>
        <w:spacing w:after="140" w:line="288"/>
        <w:jc w:val="left"/>
      </w:pPr>
      <w:r>
        <w:rPr>
          <w:rFonts w:ascii="Calibri" w:cs="Calibri" w:eastAsia="Calibri" w:hAnsi="Calibri"/>
          <w:sz w:val="22"/>
          <w:szCs w:val="22"/>
        </w:rPr>
        <w:t xml:space="preserve">İki metrik birbirinin eksiğini kapatır. Çalışan başına EBIT üretilen değeri gösterir; insan sermayesi getirisi ise o değerin işgücüne harcanan her liraya oranını. Kadro küçültülerek çalışan başına kâr yükseltilebilir; getiri oranı bu manevrayı görünür kılar, çünkü paydası işgücü maliyetidir ve küçülen kadro bu maliyeti de küçültür. Bu nedenle şartname iki metriği birlikte raporlamayı önerir.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cantSplit/>
          <w:tblHeader/>
        </w:trPr>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Bileşen</w:t>
            </w:r>
          </w:p>
        </w:tc>
        <w:tc>
          <w:tcPr>
            <w:tcW w:type="dxa" w:w="7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Yanıtladığı soru</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Tanım</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Metrik neyi ölçer?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Amaç</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Hangi kurumsal soruya hizmet eder?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Formül</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Nasıl hesaplanır, pay ve payda nedir?</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Kullanım biçimi</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Sonuçla ne yapılır, hangi metrikle birlikte okunur?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Hedef kullanıcılar</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Kime raporlanır (iç ve dış)?</w:t>
            </w:r>
          </w:p>
        </w:tc>
      </w:tr>
      <w:tr>
        <w:trPr>
          <w:cantSplit/>
        </w:trPr>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Bağlam etkenleri</w:t>
            </w:r>
          </w:p>
        </w:tc>
        <w:tc>
          <w:tcPr>
            <w:tcW w:type="dxa" w:w="7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Sonucu bugün ne etkiliyor olabilir?</w:t>
            </w:r>
          </w:p>
        </w:tc>
      </w:tr>
      <w:tr>
        <w:trPr>
          <w:cantSplit/>
        </w:trPr>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Öngörü etkenleri</w:t>
            </w:r>
          </w:p>
        </w:tc>
        <w:tc>
          <w:tcPr>
            <w:tcW w:type="dxa" w:w="7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Bilinen ve beklenen olaylar sonucu nasıl değiştirecek?</w:t>
            </w:r>
          </w:p>
        </w:tc>
      </w:tr>
    </w:tbl>
    <w:p>
      <w:pPr>
        <w:spacing w:after="140"/>
      </w:pPr>
    </w:p>
    <w:p>
      <w:pPr>
        <w:pStyle w:val="Heading2"/>
        <w:keepNext/>
        <w:spacing w:after="110" w:before="320"/>
      </w:pPr>
      <w:r>
        <w:rPr>
          <w:rFonts w:ascii="Calibri" w:cs="Calibri" w:eastAsia="Calibri" w:hAnsi="Calibri"/>
          <w:b/>
          <w:bCs/>
          <w:sz w:val="27"/>
          <w:szCs w:val="27"/>
        </w:rPr>
        <w:t xml:space="preserve">Üç kurum türü, üç ayrı yol</w:t>
      </w:r>
    </w:p>
    <w:p>
      <w:pPr>
        <w:spacing w:after="140" w:line="288"/>
        <w:jc w:val="left"/>
      </w:pPr>
      <w:r>
        <w:rPr>
          <w:rFonts w:ascii="Calibri" w:cs="Calibri" w:eastAsia="Calibri" w:hAnsi="Calibri"/>
          <w:sz w:val="22"/>
          <w:szCs w:val="22"/>
        </w:rPr>
        <w:t xml:space="preserve">Standardın ayırt edici yanı, aynı üretkenlik sorusunu kurum türüne göre farklı biçimde yanıtlamasıdır. Yanlış yolu seçmek, teknik olarak doğru ama anlamsız bir sayı üretir.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cantSplit/>
          <w:tblHeader/>
        </w:trPr>
        <w:tc>
          <w:tcPr>
            <w:tcW w:type="dxa" w:w="2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Kurum türü</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Payda</w:t>
            </w:r>
          </w:p>
        </w:tc>
        <w:tc>
          <w:tcPr>
            <w:tcW w:type="dxa" w:w="4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Önerilen ölçütler</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Kâr amaçlı kurum</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sayısı ya da tam zaman eşdeğeri (TZE)</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EBIT, gelir (ciro) ve kâr; insan sermayesi getirisi</w:t>
            </w:r>
          </w:p>
        </w:tc>
      </w:tr>
      <w:tr>
        <w:trPr>
          <w:cantSplit/>
        </w:trPr>
        <w:tc>
          <w:tcPr>
            <w:tcW w:type="dxa" w:w="2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STK / kâr amacı gütmeyen</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sayısı, saha çalışanı, bütçe</w:t>
            </w:r>
          </w:p>
        </w:tc>
        <w:tc>
          <w:tcPr>
            <w:tcW w:type="dxa" w:w="4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Yıllık bütçe, kullanılan fon oranı, idari kadronun saha kadrosuna oranı, saha çalışanı sayısı, eğitim günlerinin payı, çalışan başına gerçekleştirilen proje ve etkilenen kişi sayısı</w:t>
            </w:r>
          </w:p>
        </w:tc>
      </w:tr>
      <w:tr>
        <w:trPr>
          <w:cantSplit/>
        </w:trPr>
        <w:tc>
          <w:tcPr>
            <w:tcW w:type="dxa" w:w="2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Kamu kurumu</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w:t>
            </w:r>
          </w:p>
        </w:tc>
        <w:tc>
          <w:tcPr>
            <w:tcW w:type="dxa" w:w="4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Üretkenlik metriği önerilmez; kullanıcı memnuniyeti ve hizmet kalitesi gibi göstergeler kullanılabilir</w:t>
            </w:r>
          </w:p>
        </w:tc>
      </w:tr>
    </w:tbl>
    <w:p>
      <w:pPr>
        <w:spacing w:after="140"/>
      </w:pPr>
    </w:p>
    <w:p>
      <w:pPr>
        <w:spacing w:after="140" w:line="288"/>
        <w:jc w:val="left"/>
      </w:pPr>
      <w:r>
        <w:rPr>
          <w:rFonts w:ascii="Calibri" w:cs="Calibri" w:eastAsia="Calibri" w:hAnsi="Calibri"/>
          <w:sz w:val="22"/>
          <w:szCs w:val="22"/>
        </w:rPr>
        <w:t xml:space="preserve">Kamu kurumları için üretkenlik metriğinin önerilmemesi şartnamenin dürüst kararlarından biridir. Gerekçe ölçmenin güçlüğüdür: Bir kamu hizmetinin “geliri” ya da “kârı” yoktur ve çalışan başına çıktı, hizmetin niteliğinden bağımsız hesaplandığında yanıltıcıdır. Bunun yerine hizmet standardına uyum, başvuru sonuçlanma süresi, memnuniyet anketi sonuçları ve şikâyet oranları gibi ölçütler daha anlamlıdır. STK’larda ise amaç kâr üretkenliği değil, işgücü ve kurum etkililiğidir; payda para değil etkidir.</w:t>
      </w:r>
    </w:p>
    <w:p>
      <w:pPr>
        <w:pStyle w:val="Heading2"/>
        <w:keepNext/>
        <w:spacing w:after="110" w:before="320"/>
      </w:pPr>
      <w:r>
        <w:rPr>
          <w:rFonts w:ascii="Calibri" w:cs="Calibri" w:eastAsia="Calibri" w:hAnsi="Calibri"/>
          <w:b/>
          <w:bCs/>
          <w:sz w:val="27"/>
          <w:szCs w:val="27"/>
        </w:rPr>
        <w:t xml:space="preserve">Temel kavramlar ve gösterim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4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Kısaltma</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Kavram</w:t>
            </w:r>
          </w:p>
        </w:tc>
        <w:tc>
          <w:tcPr>
            <w:tcW w:type="dxa" w:w="5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EBIT</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Faiz ve vergi öncesi kâr</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Faiz ve gelir vergisi giderleri dışındaki tüm giderleri içeren kâr ölçüsü; kurumun faaliyetlerinden gelir üretme kabiliyetini gösterir</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Gelir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Ciro / hasılat</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Bazı ülkelerde ciro (turnover) olarak da anılır; çalışan başına hesapta net gelir kullanılır</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Kâr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Net faaliyet kârı</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kâr hesabının payı</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TCOW</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maliyeti</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ücret maliyeti + toplam yan hak maliyeti + dış işgücü maliyeti</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HC RoI</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 sermayesi getirisi</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 sermayesine harcanan her lira karşılığında geri dönen tutar</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TZE</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Tam zaman eşdeğeri</w:t>
            </w:r>
          </w:p>
        </w:tc>
        <w:tc>
          <w:tcPr>
            <w:tcW w:type="dxa" w:w="5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Kısmi ve esnek çalışmayı ortak bir tam zamanlı çalışma dönemine standartlaştıran payda</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Geçici işgücü</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Contingent workforce</w:t>
            </w:r>
          </w:p>
        </w:tc>
        <w:tc>
          <w:tcPr>
            <w:tcW w:type="dxa" w:w="5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Sayısı büyük olduğunda hesaba dahil edilmesi tercih edilen, kadro dışı çalışan grubu</w:t>
            </w:r>
          </w:p>
        </w:tc>
      </w:tr>
    </w:tbl>
    <w:p>
      <w:pPr>
        <w:spacing w:after="140"/>
      </w:pPr>
    </w:p>
    <w:p>
      <w:pPr>
        <w:pStyle w:val="Heading2"/>
        <w:keepNext/>
        <w:spacing w:after="110" w:before="320"/>
      </w:pPr>
      <w:r>
        <w:rPr>
          <w:rFonts w:ascii="Calibri" w:cs="Calibri" w:eastAsia="Calibri" w:hAnsi="Calibri"/>
          <w:b/>
          <w:bCs/>
          <w:sz w:val="27"/>
          <w:szCs w:val="27"/>
        </w:rPr>
        <w:t xml:space="preserve">Metrik 1: Çalışan başına EBIT, gelir ve kâr</w:t>
      </w:r>
    </w:p>
    <w:p>
      <w:pPr>
        <w:spacing w:after="140" w:line="288"/>
        <w:jc w:val="left"/>
      </w:pPr>
      <w:r>
        <w:rPr>
          <w:rFonts w:ascii="Calibri" w:cs="Calibri" w:eastAsia="Calibri" w:hAnsi="Calibri"/>
          <w:sz w:val="22"/>
          <w:szCs w:val="22"/>
        </w:rPr>
        <w:t xml:space="preserve">Çalışan başına oranlar, kurumun üretkenliğini benzer kurumlarla karşılaştırmanın en yaygın yoludur. Formüller basittir. Çalışan başına EBIT, EBIT’in çalışan sayısına (ya da TZE’ye) bölünmesidir; EBIT ise gelirden satılan malın maliyeti, satış ve idari giderler dahil tüm giderlerin düşülmesiyle bulunur. Çalışan başına gelir, net gelirin dönemin ortalama çalışan sayısına; çalışan başına kâr ise net faaliyet kârının çalışan sayısına bölünmesiyle hesaplanır.</w:t>
      </w:r>
    </w:p>
    <w:p>
      <w:pPr>
        <w:pStyle w:val="Heading3"/>
        <w:keepNext/>
        <w:spacing w:after="80" w:before="220"/>
      </w:pPr>
      <w:r>
        <w:rPr>
          <w:rFonts w:ascii="Calibri" w:cs="Calibri" w:eastAsia="Calibri" w:hAnsi="Calibri"/>
          <w:b/>
          <w:bCs/>
          <w:color w:val="0B5C8A"/>
          <w:sz w:val="23"/>
          <w:szCs w:val="23"/>
        </w:rPr>
        <w:t xml:space="preserve">Payda: çalışan sayısı mı, TZE mi, geçici işgücü dahil mi?</w:t>
      </w:r>
    </w:p>
    <w:p>
      <w:pPr>
        <w:spacing w:after="140" w:line="288"/>
        <w:jc w:val="left"/>
      </w:pPr>
      <w:r>
        <w:rPr>
          <w:rFonts w:ascii="Calibri" w:cs="Calibri" w:eastAsia="Calibri" w:hAnsi="Calibri"/>
          <w:sz w:val="22"/>
          <w:szCs w:val="22"/>
        </w:rPr>
        <w:t xml:space="preserve">Şartnamenin en önemli pratik uyarısı, paydanın tanımının metriğin kendisi kadar önemli olduğudur. Standart ikisine de izin verir: Kimi kurumlar çalışan sayısı yerine tam zaman eşdeğerini tercih eder. Kısmi ve esnek çalışmanın yaygın olduğu kurumlarda TZE daha doğru bir üretkenlik resmi verir; kadro büyüklüğünü izlemek isteyen kurumlarda kişi sayısı daha okunaklıdır. Geçici işgücünün sayısı büyük olduğunda ise bazı kurumlar hesabı bu grubu da kapsayacak biçimde kurar. Mantık şudur: İş dış kaynakla yapılıyorsa, üretilen değer yalnızca kadroya bölündüğünde yapay olarak yükselir. Belirleyici olan, tercihin dönemler boyunca değişmemesi ve raporda yazılı olmasıdır.</w:t>
      </w:r>
    </w:p>
    <w:p>
      <w:pPr>
        <w:pStyle w:val="Heading3"/>
        <w:keepNext/>
        <w:spacing w:after="80" w:before="220"/>
      </w:pPr>
      <w:r>
        <w:rPr>
          <w:rFonts w:ascii="Calibri" w:cs="Calibri" w:eastAsia="Calibri" w:hAnsi="Calibri"/>
          <w:b/>
          <w:bCs/>
          <w:color w:val="0B5C8A"/>
          <w:sz w:val="23"/>
          <w:szCs w:val="23"/>
        </w:rPr>
        <w:t xml:space="preserve">Kurgusal örnek: Aynı EBIT, üç farklı çalışan başına değer</w:t>
      </w:r>
    </w:p>
    <w:p>
      <w:pPr>
        <w:spacing w:after="140" w:line="288"/>
        <w:jc w:val="left"/>
      </w:pPr>
      <w:r>
        <w:rPr>
          <w:rFonts w:ascii="Calibri" w:cs="Calibri" w:eastAsia="Calibri" w:hAnsi="Calibri"/>
          <w:sz w:val="22"/>
          <w:szCs w:val="22"/>
        </w:rPr>
        <w:t xml:space="preserve">Anadolu Örnek A.Ş.’nin cari yıl geliri 960 milyon TL, EBIT’i için düşülmesi gereken tüm giderlerin toplamı 840 milyon TL’dir. EBIT = 960 − 840 = 120 milyon TL. Ortalama çalışan sayısı 1.200, tam zaman eşdeğeri 1.080’dir; ayrıca ortalama 150 kişilik geçici işgücü kullanılmaktadır.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700"/>
        <w:gridCol w:w="18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2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Payda</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18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 (TL)</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gelir</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 çalışan</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960.000.000 ÷ 1.200</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800.000</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EBIT</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 çalışan</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120.000.000 ÷ 1.200</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EBIT</w:t>
            </w:r>
          </w:p>
        </w:tc>
        <w:tc>
          <w:tcPr>
            <w:tcW w:type="dxa" w:w="2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1.080 TZE</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120.000.000 ÷ 1.080</w:t>
            </w:r>
          </w:p>
        </w:tc>
        <w:tc>
          <w:tcPr>
            <w:tcW w:type="dxa" w:w="18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111.111</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EBIT</w:t>
            </w:r>
          </w:p>
        </w:tc>
        <w:tc>
          <w:tcPr>
            <w:tcW w:type="dxa" w:w="2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1.350 (çalışan + geçici)</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120.000.000 ÷ 1.350</w:t>
            </w:r>
          </w:p>
        </w:tc>
        <w:tc>
          <w:tcPr>
            <w:tcW w:type="dxa" w:w="18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88.889</w:t>
            </w:r>
          </w:p>
        </w:tc>
      </w:tr>
    </w:tbl>
    <w:p>
      <w:pPr>
        <w:spacing w:after="140"/>
      </w:pPr>
    </w:p>
    <w:p>
      <w:pPr>
        <w:spacing w:after="140" w:line="288"/>
        <w:jc w:val="left"/>
      </w:pPr>
      <w:r>
        <w:rPr>
          <w:rFonts w:ascii="Calibri" w:cs="Calibri" w:eastAsia="Calibri" w:hAnsi="Calibri"/>
          <w:sz w:val="22"/>
          <w:szCs w:val="22"/>
        </w:rPr>
        <w:t xml:space="preserve">Aynı EBIT, paydaya göre 88.889 ile 111.111 TL arasında üç farklı çalışan başına değer üretir; aradaki fark yüzde 25’i bulur. Bu yüzden paydanın tanımı yazılı olmalı ve kurumlar arası kıyaslama yapılırken karşı tarafın tanımı öğrenilmelidir. TZE tabanlı hesap daha yüksek bir değer verir, çünkü kısmi zamanlı çalışanlar tam kişi olarak sayılmaz; geçici işgücü dahil hesap ise daha düşük bir değer verir, çünkü iş gücüne harcanan emeği daha geniş bir tabana yayar.</w:t>
      </w:r>
    </w:p>
    <w:p>
      <w:pPr>
        <w:pStyle w:val="Heading3"/>
        <w:keepNext/>
        <w:spacing w:after="80" w:before="220"/>
      </w:pPr>
      <w:r>
        <w:rPr>
          <w:rFonts w:ascii="Calibri" w:cs="Calibri" w:eastAsia="Calibri" w:hAnsi="Calibri"/>
          <w:b/>
          <w:bCs/>
          <w:color w:val="0B5C8A"/>
          <w:sz w:val="23"/>
          <w:szCs w:val="23"/>
        </w:rPr>
        <w:t xml:space="preserve">Kadro küçülmesi ve payda etkisi</w:t>
      </w:r>
    </w:p>
    <w:p>
      <w:pPr>
        <w:spacing w:after="140" w:line="288"/>
        <w:jc w:val="left"/>
      </w:pPr>
      <w:r>
        <w:rPr>
          <w:rFonts w:ascii="Calibri" w:cs="Calibri" w:eastAsia="Calibri" w:hAnsi="Calibri"/>
          <w:sz w:val="22"/>
          <w:szCs w:val="22"/>
        </w:rPr>
        <w:t xml:space="preserve">Önceki yıl şirketin geliri 900 milyon TL, tüm giderleri 800 milyon TL, EBIT’i 100 milyon TL ve ortalama çalışan sayısı 1.250’dir. Önceki yıl çalışan başına EBIT = 100.000.000 ÷ 1.250 = 80.000 TL. Cari yıl 100.000 TL; yani çalışan başına EBIT %25 artmıştır. Bu artışın ne kadarı gerçek bir verimlilik kazanımı, ne kadarı kadro küçülmesinden gelmektedir?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638"/>
      </w:tblGrid>
      <w:tr>
        <w:trPr>
          <w:cantSplit/>
          <w:tblHeader/>
        </w:trPr>
        <w:tc>
          <w:tcPr>
            <w:tcW w:type="dxa" w:w="3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Senaryo</w:t>
            </w:r>
          </w:p>
        </w:tc>
        <w:tc>
          <w:tcPr>
            <w:tcW w:type="dxa" w:w="34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Çalışan başına EBIT (TL)</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Önceki yıl</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100.000.000 ÷ 1.250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80.000</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Cari yıl (gerçek)</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120.000.000 ÷ 1.200</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Cari yıl, kadro sabit kalsaydı</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120.000.000 ÷ 1.250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96.000</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artış</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100.000 − 80.000</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+20.000</w:t>
            </w:r>
          </w:p>
        </w:tc>
      </w:tr>
      <w:tr>
        <w:trPr>
          <w:cantSplit/>
        </w:trPr>
        <w:tc>
          <w:tcPr>
            <w:tcW w:type="dxa" w:w="3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Bunun payda etkisi</w:t>
            </w:r>
          </w:p>
        </w:tc>
        <w:tc>
          <w:tcPr>
            <w:tcW w:type="dxa" w:w="34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100.000 − 96.000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+4.000</w:t>
            </w:r>
          </w:p>
        </w:tc>
      </w:tr>
      <w:tr>
        <w:trPr>
          <w:cantSplit/>
        </w:trPr>
        <w:tc>
          <w:tcPr>
            <w:tcW w:type="dxa" w:w="3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Bunun EBIT artışı etkisi</w:t>
            </w:r>
          </w:p>
        </w:tc>
        <w:tc>
          <w:tcPr>
            <w:tcW w:type="dxa" w:w="34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96.000 − 80.000</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+16.000</w:t>
            </w:r>
          </w:p>
        </w:tc>
      </w:tr>
    </w:tbl>
    <w:p>
      <w:pPr>
        <w:spacing w:after="140"/>
      </w:pPr>
    </w:p>
    <w:p>
      <w:pPr>
        <w:spacing w:after="140" w:line="288"/>
        <w:jc w:val="left"/>
      </w:pPr>
      <w:r>
        <w:rPr>
          <w:rFonts w:ascii="Calibri" w:cs="Calibri" w:eastAsia="Calibri" w:hAnsi="Calibri"/>
          <w:sz w:val="22"/>
          <w:szCs w:val="22"/>
        </w:rPr>
        <w:t xml:space="preserve">Artışın 20.000 TL’sinin 16.000’i EBIT’in büyümesinden, 4.000’i ise kadronun küçülmesinden gelmektedir; yani artışın beşte biri paydadan kaynaklanmaktadır. Şartnamenin bağlam etkenleri tam olarak bunu söyler: Her ölçüm noktasındaki kadro ve TZE, metriğin anlamını değiştirecek kadar büyümüş ya da küçülmüş olabilir. Çalışan başına EBIT artarken kadro küçülüyorsa artışın kaynağı üretkenlik değil, paydadır; bu durumda getiri oranını, devri ve performans metriklerini birlikte okumak gerekir.</w:t>
      </w:r>
    </w:p>
    <w:p>
      <w:pPr>
        <w:pStyle w:val="Heading2"/>
        <w:keepNext/>
        <w:spacing w:after="110" w:before="320"/>
      </w:pPr>
      <w:r>
        <w:rPr>
          <w:rFonts w:ascii="Calibri" w:cs="Calibri" w:eastAsia="Calibri" w:hAnsi="Calibri"/>
          <w:b/>
          <w:bCs/>
          <w:sz w:val="27"/>
          <w:szCs w:val="27"/>
        </w:rPr>
        <w:t xml:space="preserve">Metrik 2: İnsan sermayesi getirisi (HC RoI)</w:t>
      </w:r>
    </w:p>
    <w:p>
      <w:pPr>
        <w:spacing w:after="140" w:line="288"/>
        <w:jc w:val="left"/>
      </w:pPr>
      <w:r>
        <w:rPr>
          <w:rFonts w:ascii="Calibri" w:cs="Calibri" w:eastAsia="Calibri" w:hAnsi="Calibri"/>
          <w:sz w:val="22"/>
          <w:szCs w:val="22"/>
        </w:rPr>
        <w:t xml:space="preserve">İnsan sermayesi getirisi, kurumun işgücüne harcadığı her liranın karşılığında ne kadar değer ürettiğini ölçer. Şartname formülü şöyle verir: HC RoI = [gelir − (toplam gider − işgücü maliyeti)] ÷ işgücü maliyeti − 1. Formülün mantığı şudur: Köşeli parantez içindeki tutar, işgücü dışındaki tüm giderler düşüldükten sonra geriye kalan gelirdir; bu tutar işgücü maliyetine bölündüğünde, işgücüne harcanan her lira başına ne kadar değer üretildiği bulunur; bir çıkarıldığında ise işgücüne harcanan liranın kendisi geri alınır ve kalan getiri görülür.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B5C8A" w:sz="24"/>
              <w:bottom w:val="none" w:color="FFFFFF" w:sz="0"/>
              <w:right w:val="none" w:color="FFFFFF" w:sz="0"/>
            </w:tcBorders>
            <w:shd w:fill="E7F0F6" w:color="auto" w:val="clear"/>
            <w:tcMar>
              <w:top w:type="dxa" w:w="110"/>
              <w:left w:type="dxa" w:w="200"/>
              <w:bottom w:type="dxa" w:w="110"/>
              <w:right w:type="dxa" w:w="160"/>
            </w:tcMar>
          </w:tcPr>
          <w:p>
            <w:pPr>
              <w:spacing w:after="60"/>
            </w:pPr>
            <w:r>
              <w:rPr>
                <w:rFonts w:ascii="Calibri" w:cs="Calibri" w:eastAsia="Calibri" w:hAnsi="Calibri"/>
                <w:b/>
                <w:bCs/>
                <w:color w:val="0B5C8A"/>
                <w:sz w:val="21"/>
                <w:szCs w:val="21"/>
              </w:rPr>
              <w:t xml:space="preserve">Şartnamenin örneği</w:t>
            </w:r>
          </w:p>
          <w:p>
            <w:pPr>
              <w:spacing w:after="0" w:line="276"/>
            </w:pPr>
            <w:r>
              <w:rPr>
                <w:rFonts w:ascii="Calibri" w:cs="Calibri" w:eastAsia="Calibri" w:hAnsi="Calibri"/>
                <w:sz w:val="21"/>
                <w:szCs w:val="21"/>
              </w:rPr>
              <w:t xml:space="preserve">Gelir 4.500.000; toplam gider (faaliyet giderleri) 3.750.000; işgücü maliyeti (ücret ve yan haklar) 1.500.000. HC RoI = [4.500.000 − (3.750.000 − 1.500.000)] ÷ 1.500.000 − 1 = 2.250.000 ÷ 1.500.000 − 1 = 1,5 − 1 = 0,5, yani %50. Başka bir ifadeyle işgücüne harcanan her liranın kendisi geri gelmiş, üstüne 50 kuruş vergi öncesi kâr eklenmiştir.</w:t>
            </w:r>
          </w:p>
        </w:tc>
      </w:tr>
    </w:tbl>
    <w:p>
      <w:pPr>
        <w:spacing w:after="120"/>
      </w:pPr>
    </w:p>
    <w:p>
      <w:pPr>
        <w:pStyle w:val="Heading3"/>
        <w:keepNext/>
        <w:spacing w:after="80" w:before="220"/>
      </w:pPr>
      <w:r>
        <w:rPr>
          <w:rFonts w:ascii="Calibri" w:cs="Calibri" w:eastAsia="Calibri" w:hAnsi="Calibri"/>
          <w:b/>
          <w:bCs/>
          <w:color w:val="0B5C8A"/>
          <w:sz w:val="23"/>
          <w:szCs w:val="23"/>
        </w:rPr>
        <w:t xml:space="preserve">Toplam işgücü maliyeti (TCOW)</w:t>
      </w:r>
    </w:p>
    <w:p>
      <w:pPr>
        <w:spacing w:after="140" w:line="288"/>
        <w:jc w:val="left"/>
      </w:pPr>
      <w:r>
        <w:rPr>
          <w:rFonts w:ascii="Calibri" w:cs="Calibri" w:eastAsia="Calibri" w:hAnsi="Calibri"/>
          <w:sz w:val="22"/>
          <w:szCs w:val="22"/>
        </w:rPr>
        <w:t xml:space="preserve">HC RoI’nin paydası toplam işgücü maliyetidir: toplam ücret maliyeti, toplam yan hak maliyeti ve dış işgücü maliyetinin toplamı. Standart, bu payın çoğu kurumda toplam maliyetin dörtte biri ile beşte üçü arasında olduğunu anar. Bu aralık, insan sermayesi getirisinin neden giderek daha çok izlenen bir ölçüt hâline geldiğini açıklar: Toplam giderin yarısı insana harcanıyorsa, o harcamanın verimliliği kurumun kârlılığının en önemli belirleyicilerinden biridir. Standart, TCOW tanımının evrensel olmadığını da belirtir: Kimi ülke ve sektörler toplam işgücü maliyeti için biraz farklı tanımlar kullanır; kıyaslama ancak tanımlar açıklandığında anlamlıdır.</w:t>
      </w:r>
    </w:p>
    <w:p>
      <w:pPr>
        <w:pStyle w:val="Heading3"/>
        <w:keepNext/>
        <w:spacing w:after="80" w:before="220"/>
      </w:pPr>
      <w:r>
        <w:rPr>
          <w:rFonts w:ascii="Calibri" w:cs="Calibri" w:eastAsia="Calibri" w:hAnsi="Calibri"/>
          <w:b/>
          <w:bCs/>
          <w:color w:val="0B5C8A"/>
          <w:sz w:val="23"/>
          <w:szCs w:val="23"/>
        </w:rPr>
        <w:t xml:space="preserve">Kurgusal örnek: İki yılın HC RoI’si</w:t>
      </w:r>
    </w:p>
    <w:p>
      <w:pPr>
        <w:spacing w:after="140" w:line="288"/>
        <w:jc w:val="left"/>
      </w:pPr>
      <w:r>
        <w:rPr>
          <w:rFonts w:ascii="Calibri" w:cs="Calibri" w:eastAsia="Calibri" w:hAnsi="Calibri"/>
          <w:sz w:val="22"/>
          <w:szCs w:val="22"/>
        </w:rPr>
        <w:t xml:space="preserve">Anadolu Örnek A.Ş.’nin cari yıl işgücü maliyeti 480 milyon TL’dir: 360 milyon TL ücret (maaş ve ikramiye), 72 milyon TL yan hak ve 48 milyon TL dış işgücü. Önceki yıl işgücü maliyeti 436 milyon TL’dir.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2700"/>
        <w:gridCol w:w="2638"/>
      </w:tblGrid>
      <w:tr>
        <w:trPr>
          <w:cantSplit/>
          <w:tblHeader/>
        </w:trPr>
        <w:tc>
          <w:tcPr>
            <w:tcW w:type="dxa" w:w="4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Kalem (milyon TL)</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yıl</w:t>
            </w:r>
          </w:p>
        </w:tc>
        <w:tc>
          <w:tcPr>
            <w:tcW w:type="dxa" w:w="26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Cari yıl</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Gelir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900</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960</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gider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840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maliyeti (TCOW)</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436</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480</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dışı giderler (toplam gider − TCOW)</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364</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dışı giderler sonrası kalan gelir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536</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600</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HC RoI</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536 ÷ 436 − 1 = 0,229 → %22,9</w:t>
            </w:r>
          </w:p>
        </w:tc>
        <w:tc>
          <w:tcPr>
            <w:tcW w:type="dxa" w:w="26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600 ÷ 480 − 1 = 0,25 → %25,0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maliyet payı (TCOW ÷ toplam gider)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%54,5</w:t>
            </w:r>
          </w:p>
        </w:tc>
        <w:tc>
          <w:tcPr>
            <w:tcW w:type="dxa" w:w="26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%57,1</w:t>
            </w:r>
          </w:p>
        </w:tc>
      </w:tr>
    </w:tbl>
    <w:p>
      <w:pPr>
        <w:spacing w:after="140"/>
      </w:pPr>
    </w:p>
    <w:p>
      <w:pPr>
        <w:spacing w:after="140" w:line="288"/>
        <w:jc w:val="left"/>
      </w:pPr>
      <w:r>
        <w:rPr>
          <w:rFonts w:ascii="Calibri" w:cs="Calibri" w:eastAsia="Calibri" w:hAnsi="Calibri"/>
          <w:sz w:val="22"/>
          <w:szCs w:val="22"/>
        </w:rPr>
        <w:t xml:space="preserve">İnsan sermayesi getirisi 22,9’dan 25,0’a yükselmiştir; ama işgücü maliyetinin toplam giderler içindeki payı da 54,5’ten 57,1’e çıkmıştır. İkisi birlikte okunduğunda şu hikâye çıkar: Kurum, işgücü dışı giderlerini azaltmış (364’ten 360 milyon TL’ye) ve işgücü maliyetini artırmıştır; getiri iyileşmiştir ama kurum önceki yıla göre daha çok insan sermayesine bağımlı hâle gelmiştir. Eğer getiri oranı düşerken çalışan başına EBIT sabit kalsaydı, işgücü maliyetinin üretilen değerden hızlı arttığı sonucuna varılırdı; bu durumda ücret artışı, dış işgücü kullanımı ve yan hak maliyetleri ayrı ayrı incelenirdi (6.2).</w:t>
      </w:r>
    </w:p>
    <w:p>
      <w:pPr>
        <w:spacing w:after="140" w:line="288"/>
        <w:jc w:val="left"/>
      </w:pPr>
      <w:r>
        <w:rPr>
          <w:rFonts w:ascii="Calibri" w:cs="Calibri" w:eastAsia="Calibri" w:hAnsi="Calibri"/>
          <w:sz w:val="22"/>
          <w:szCs w:val="22"/>
        </w:rPr>
        <w:t xml:space="preserve">Şartname getiri oranının uzun vadeli bir gösterge olduğunu vurgular. Piyasa değeri denetim dışı olaylarla sert biçimde dalgalandığı için standart bu metriği kısa dönemli ölçüm yerine uzun vadeli stratejik öngörüde kullanmayı önerir ve karşılaştırma aralığını üç ila beş yıl olarak belirler. Standart ayrıca bu metriğin kurumlar tarafından tipik olarak takip edilmediğini söyler; seri kurmak için geçmiş verinin yeniden üretilmesi gerekebilir. Çeyreklik seri iç izleme için tutulabilir, ancak dış raporlamada yıllık ve üç-beş yıllık eğilim tercih edilir.</w:t>
      </w:r>
    </w:p>
    <w:p>
      <w:pPr>
        <w:pStyle w:val="Heading3"/>
        <w:keepNext/>
        <w:spacing w:after="80" w:before="220"/>
      </w:pPr>
      <w:r>
        <w:rPr>
          <w:rFonts w:ascii="Calibri" w:cs="Calibri" w:eastAsia="Calibri" w:hAnsi="Calibri"/>
          <w:b/>
          <w:bCs/>
          <w:color w:val="0B5C8A"/>
          <w:sz w:val="23"/>
          <w:szCs w:val="23"/>
        </w:rPr>
        <w:t xml:space="preserve">HC RoI ile eğitim yatırımının getirisi aynı şey değildir</w:t>
      </w:r>
    </w:p>
    <w:p>
      <w:pPr>
        <w:spacing w:after="140" w:line="288"/>
        <w:jc w:val="left"/>
      </w:pPr>
      <w:r>
        <w:rPr>
          <w:rFonts w:ascii="Calibri" w:cs="Calibri" w:eastAsia="Calibri" w:hAnsi="Calibri"/>
          <w:sz w:val="22"/>
          <w:szCs w:val="22"/>
        </w:rPr>
        <w:t xml:space="preserve">Sık yapılan bir karışıklık, insan sermayesi getirisi ile Kısım 4.2’de ele alınan program düzeyindeki yatırım getirisini aynı sanmaktır. İnsan sermayesi getirisi, tüm işgücü maliyetine karşılık üretilen değeri ölçer; paydası ücret, yan hak ve dış işgücü maliyetlerinin toplamıdır. Bir eğitim programının getirisi ise tek bir müdahalenin maliyet–fayda hesabıdır. İkisi karıştırılırsa, insan sermayesi getirisi eğitim bütçesi kadar küçük bir paydayla hesaplanmış gibi görünür ve olduğundan çok yüksek çıkar.</w:t>
      </w:r>
    </w:p>
    <w:p>
      <w:pPr>
        <w:pStyle w:val="Heading2"/>
        <w:keepNext/>
        <w:spacing w:after="110" w:before="320"/>
      </w:pPr>
      <w:r>
        <w:rPr>
          <w:rFonts w:ascii="Calibri" w:cs="Calibri" w:eastAsia="Calibri" w:hAnsi="Calibri"/>
          <w:b/>
          <w:bCs/>
          <w:sz w:val="27"/>
          <w:szCs w:val="27"/>
        </w:rPr>
        <w:t xml:space="preserve">STK ve kâr amacı gütmeyen kuruluşlar</w:t>
      </w:r>
    </w:p>
    <w:p>
      <w:pPr>
        <w:spacing w:after="140" w:line="288"/>
        <w:jc w:val="left"/>
      </w:pPr>
      <w:r>
        <w:rPr>
          <w:rFonts w:ascii="Calibri" w:cs="Calibri" w:eastAsia="Calibri" w:hAnsi="Calibri"/>
          <w:sz w:val="22"/>
          <w:szCs w:val="22"/>
        </w:rPr>
        <w:t xml:space="preserve">Kâr amacı gütmeyen bir kuruluşun işgücü üretkenliği, EBIT ile değil, etki ile ölçülür. Şartname bu kuruluşlar için bütçe ve fon kullanımı, idari kadronun saha kadrosuna oranı, eğitim günlerinin payı ve çalışan başına proje ve etkilenen kişi sayısı gibi göstergeleri önerir. Hesaplar basittir: Fon kullanım oranı kullanılan fonun yıllık bütçeye, idari-saha oranı idari kadronun saha çalışanı sayısına, çalışan başına proje proje sayısının çalışan sayısına bölünmesidir. İdari-saha oranı hem kadro hem ücret maliyeti üzerinden ayrı ayrı hesaplanır.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4200"/>
        <w:gridCol w:w="2138"/>
      </w:tblGrid>
      <w:tr>
        <w:trPr>
          <w:cantSplit/>
          <w:tblHeader/>
        </w:trPr>
        <w:tc>
          <w:tcPr>
            <w:tcW w:type="dxa" w:w="3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42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Hesap (kurgusal)</w:t>
            </w:r>
          </w:p>
        </w:tc>
        <w:tc>
          <w:tcPr>
            <w:tcW w:type="dxa" w:w="21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Sonuç</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Fon kullanım oranı</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36.000.000 ÷ 40.000.000 × 100</w:t>
            </w:r>
          </w:p>
        </w:tc>
        <w:tc>
          <w:tcPr>
            <w:tcW w:type="dxa" w:w="2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%90,0</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İdari / saha kadro oranı</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 ÷ 72 × 100</w:t>
            </w:r>
          </w:p>
        </w:tc>
        <w:tc>
          <w:tcPr>
            <w:tcW w:type="dxa" w:w="2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%25,0</w:t>
            </w:r>
          </w:p>
        </w:tc>
      </w:tr>
      <w:tr>
        <w:trPr>
          <w:cantSplit/>
        </w:trPr>
        <w:tc>
          <w:tcPr>
            <w:tcW w:type="dxa" w:w="3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proje (90 çalışan)</w:t>
            </w:r>
          </w:p>
        </w:tc>
        <w:tc>
          <w:tcPr>
            <w:tcW w:type="dxa" w:w="42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24 ÷ 90</w:t>
            </w:r>
          </w:p>
        </w:tc>
        <w:tc>
          <w:tcPr>
            <w:tcW w:type="dxa" w:w="21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0,27 proje</w:t>
            </w:r>
          </w:p>
        </w:tc>
      </w:tr>
      <w:tr>
        <w:trPr>
          <w:cantSplit/>
        </w:trPr>
        <w:tc>
          <w:tcPr>
            <w:tcW w:type="dxa" w:w="3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Etki ölçeğine göre projeler</w:t>
            </w:r>
          </w:p>
        </w:tc>
        <w:tc>
          <w:tcPr>
            <w:tcW w:type="dxa" w:w="42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10–100 kişi: 15 proje; 100–1.000 kişi: 7 proje; 1.000+ kişi: 2 proje</w:t>
            </w:r>
          </w:p>
        </w:tc>
        <w:tc>
          <w:tcPr>
            <w:tcW w:type="dxa" w:w="21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Ayrı raporlanır</w:t>
            </w:r>
          </w:p>
        </w:tc>
      </w:tr>
    </w:tbl>
    <w:p>
      <w:pPr>
        <w:spacing w:after="140"/>
      </w:pPr>
    </w:p>
    <w:p>
      <w:pPr>
        <w:spacing w:after="140" w:line="288"/>
        <w:jc w:val="left"/>
      </w:pPr>
      <w:r>
        <w:rPr>
          <w:rFonts w:ascii="Calibri" w:cs="Calibri" w:eastAsia="Calibri" w:hAnsi="Calibri"/>
          <w:sz w:val="22"/>
          <w:szCs w:val="22"/>
        </w:rPr>
        <w:t xml:space="preserve">Çalışan başına proje sayısı, projelerin etkilediği kişi sayısı belirtilmeden tek başına bir şey söylemez: 10–100 kişiyi etkileyen beş proje ile 1.000 kişiyi aşan tek proje aynı sayıda toplanamaz. Bu nedenle standart etki ölçeklerine göre ayrı raporlamayı önerir. İdari-saha oranı da dikkatle yorumlanır: Düşük oran verimliliğe işaret edebilir, ama aynı zamanda destek işlevlerinin yetersizliğine de.</w:t>
      </w:r>
    </w:p>
    <w:p>
      <w:pPr>
        <w:pStyle w:val="Heading3"/>
        <w:keepNext/>
        <w:spacing w:after="80" w:before="220"/>
      </w:pPr>
      <w:r>
        <w:rPr>
          <w:rFonts w:ascii="Calibri" w:cs="Calibri" w:eastAsia="Calibri" w:hAnsi="Calibri"/>
          <w:b/>
          <w:bCs/>
          <w:color w:val="0B5C8A"/>
          <w:sz w:val="23"/>
          <w:szCs w:val="23"/>
        </w:rPr>
        <w:t xml:space="preserve">Kurgusal vaka: Aynı gelir, farklı iş modeli</w:t>
      </w:r>
    </w:p>
    <w:p>
      <w:pPr>
        <w:spacing w:after="140" w:line="288"/>
        <w:jc w:val="left"/>
      </w:pPr>
      <w:r>
        <w:rPr>
          <w:rFonts w:ascii="Calibri" w:cs="Calibri" w:eastAsia="Calibri" w:hAnsi="Calibri"/>
          <w:sz w:val="22"/>
          <w:szCs w:val="22"/>
        </w:rPr>
        <w:t xml:space="preserve">Anadolu Örnek A.Ş.’nin yönetim kurulu, çalışan başına gelirin rakip bir kurumdan %40 düşük olduğunu görür ve bunu üretkenlik sorunu olarak yorumlamak ister. İK ve finans ekibi karşılaştırmayı iki açıdan sınar. Birincisi, rakip kurum üretimin büyük bölümünü dış kaynaktan almaktadır; geçici ve dış kaynaklı işgücü paydaya girmediği için çalışan başına geliri yapay biçimde yüksektir. İkincisi, rakip kurum işgücü maliyeti payı %30 olan sermaye yoğun bir iş modeline sahiptir; Anadolu Örnek A.Ş.’de bu pay %57’dir. Payda ve iş modeli düzeltildiğinde fark %40’tan %9’a iner ve geriye kalan fark, getiri oranının (HC RoI) iki kurumda benzer çıkmasıyla birlikte anlam kazanır. Bu vaka kurgusaldır; ancak şartnamenin “aynı sektörde olmayan iki kurumun çalışan başına geliri karşılaştırıldığında ölçülen şey üretkenlik değil, iş modelidir” uyarısının işleyişini gösterir.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2"/>
        </w:numPr>
        <w:spacing w:after="80" w:line="280"/>
      </w:pPr>
      <w:r>
        <w:rPr>
          <w:rFonts w:ascii="Calibri" w:cs="Calibri" w:eastAsia="Calibri" w:hAnsi="Calibri"/>
          <w:sz w:val="22"/>
          <w:szCs w:val="22"/>
        </w:rPr>
        <w:t xml:space="preserve">Kurum türünü belirleyin: kâr amaçlı, STK ya da kamu; yol buradan ayrılır.</w:t>
      </w:r>
    </w:p>
    <w:p>
      <w:pPr>
        <w:pStyle w:val="ListParagraph"/>
        <w:numPr>
          <w:ilvl w:val="0"/>
          <w:numId w:val="2"/>
        </w:numPr>
        <w:spacing w:after="80" w:line="280"/>
      </w:pPr>
      <w:r>
        <w:rPr>
          <w:rFonts w:ascii="Calibri" w:cs="Calibri" w:eastAsia="Calibri" w:hAnsi="Calibri"/>
          <w:sz w:val="22"/>
          <w:szCs w:val="22"/>
        </w:rPr>
        <w:t xml:space="preserve">Paydayı tanımlayın: çalışan sayısı mı, TZE mi; dönem sonu mu, ortalama mı; geçici ve dış işgücü dahil mi?</w:t>
      </w:r>
    </w:p>
    <w:p>
      <w:pPr>
        <w:pStyle w:val="ListParagraph"/>
        <w:numPr>
          <w:ilvl w:val="0"/>
          <w:numId w:val="2"/>
        </w:numPr>
        <w:spacing w:after="80" w:line="280"/>
      </w:pPr>
      <w:r>
        <w:rPr>
          <w:rFonts w:ascii="Calibri" w:cs="Calibri" w:eastAsia="Calibri" w:hAnsi="Calibri"/>
          <w:sz w:val="22"/>
          <w:szCs w:val="22"/>
        </w:rPr>
        <w:t xml:space="preserve">Payı tanımlayın: net gelir, net faaliyet kârı ve EBIT ayrı ayrı tanımlanır; hangisinin raporlandığı yazılır.</w:t>
      </w:r>
    </w:p>
    <w:p>
      <w:pPr>
        <w:pStyle w:val="ListParagraph"/>
        <w:numPr>
          <w:ilvl w:val="0"/>
          <w:numId w:val="2"/>
        </w:numPr>
        <w:spacing w:after="80" w:line="280"/>
      </w:pPr>
      <w:r>
        <w:rPr>
          <w:rFonts w:ascii="Calibri" w:cs="Calibri" w:eastAsia="Calibri" w:hAnsi="Calibri"/>
          <w:sz w:val="22"/>
          <w:szCs w:val="22"/>
        </w:rPr>
        <w:t xml:space="preserve">Toplam işgücü maliyetini (TCOW) kurun: ücret, yan haklar ve dış işgücü; kendi tanımınızı belgeleyin.</w:t>
      </w:r>
    </w:p>
    <w:p>
      <w:pPr>
        <w:pStyle w:val="ListParagraph"/>
        <w:numPr>
          <w:ilvl w:val="0"/>
          <w:numId w:val="2"/>
        </w:numPr>
        <w:spacing w:after="80" w:line="280"/>
      </w:pPr>
      <w:r>
        <w:rPr>
          <w:rFonts w:ascii="Calibri" w:cs="Calibri" w:eastAsia="Calibri" w:hAnsi="Calibri"/>
          <w:sz w:val="22"/>
          <w:szCs w:val="22"/>
        </w:rPr>
        <w:t xml:space="preserve">Ölçüm noktasını sabitleyin ve bütçe döngüsüyle hizalayın.</w:t>
      </w:r>
    </w:p>
    <w:p>
      <w:pPr>
        <w:pStyle w:val="ListParagraph"/>
        <w:numPr>
          <w:ilvl w:val="0"/>
          <w:numId w:val="2"/>
        </w:numPr>
        <w:spacing w:after="80" w:line="280"/>
      </w:pPr>
      <w:r>
        <w:rPr>
          <w:rFonts w:ascii="Calibri" w:cs="Calibri" w:eastAsia="Calibri" w:hAnsi="Calibri"/>
          <w:sz w:val="22"/>
          <w:szCs w:val="22"/>
        </w:rPr>
        <w:t xml:space="preserve">Kırılımları seçin: iş kolu, bölge, ürün hattı, tesis.</w:t>
      </w:r>
    </w:p>
    <w:p>
      <w:pPr>
        <w:pStyle w:val="ListParagraph"/>
        <w:numPr>
          <w:ilvl w:val="0"/>
          <w:numId w:val="2"/>
        </w:numPr>
        <w:spacing w:after="80" w:line="280"/>
      </w:pPr>
      <w:r>
        <w:rPr>
          <w:rFonts w:ascii="Calibri" w:cs="Calibri" w:eastAsia="Calibri" w:hAnsi="Calibri"/>
          <w:sz w:val="22"/>
          <w:szCs w:val="22"/>
        </w:rPr>
        <w:t xml:space="preserve">Üç ila beş yıllık seriyi kurun ve hedefleri bu seri üzerinden belirleyin.</w:t>
      </w:r>
    </w:p>
    <w:p>
      <w:pPr>
        <w:pStyle w:val="ListParagraph"/>
        <w:numPr>
          <w:ilvl w:val="0"/>
          <w:numId w:val="2"/>
        </w:numPr>
        <w:spacing w:after="80" w:line="280"/>
      </w:pPr>
      <w:r>
        <w:rPr>
          <w:rFonts w:ascii="Calibri" w:cs="Calibri" w:eastAsia="Calibri" w:hAnsi="Calibri"/>
          <w:sz w:val="22"/>
          <w:szCs w:val="22"/>
        </w:rPr>
        <w:t xml:space="preserve">Bağlam ve öngörü etkenlerini yazın; çalışan temsilcilerinin görüşünü alın.</w:t>
      </w:r>
    </w:p>
    <w:p>
      <w:pPr>
        <w:pStyle w:val="Heading2"/>
        <w:keepNext/>
        <w:spacing w:after="110" w:before="320"/>
      </w:pPr>
      <w:r>
        <w:rPr>
          <w:rFonts w:ascii="Calibri" w:cs="Calibri" w:eastAsia="Calibri" w:hAnsi="Calibri"/>
          <w:b/>
          <w:bCs/>
          <w:sz w:val="27"/>
          <w:szCs w:val="27"/>
        </w:rPr>
        <w:t xml:space="preserve">Kamu kurumlarında alternatif göstergeler</w:t>
      </w:r>
    </w:p>
    <w:p>
      <w:pPr>
        <w:spacing w:after="140" w:line="288"/>
        <w:jc w:val="left"/>
      </w:pPr>
      <w:r>
        <w:rPr>
          <w:rFonts w:ascii="Calibri" w:cs="Calibri" w:eastAsia="Calibri" w:hAnsi="Calibri"/>
          <w:sz w:val="22"/>
          <w:szCs w:val="22"/>
        </w:rPr>
        <w:t xml:space="preserve">Şartname kamu kurumları için bir üretkenlik metriği önermese de, bu kurumlarda ölçüm yapılmayacağı anlamına gelmez. Kullanıcı memnuniyeti ve hizmet kalitesi gibi göstergeler, bu kurumların çıktısını daha anlamlı biçimde yansıtır. Uygulamada bunlar hizmet standardına uyum oranı, başvuru sonuçlanma süresi, memnuniyet anketi puanı ve şikâyet oranı olarak somutlaşır. Kısım 4 ve 5’te anlatılan öğrenme, bağlılık ve devir metrikleri de kamu kurumlarında doğrudan uygulanabilir; çünkü bunlar üretilen değerden bağımsız olarak işgücünün durumunu ölçer. Önemli olan, kamu kurumunda çalışan başına bütçe ya da çalışan başına işlem sayısının, hizmetin niteliğinden bağımsız hesaplandığında bir baskı aracına dönüşebileceğinin bilinmesidir.</w:t>
      </w:r>
    </w:p>
    <w:p>
      <w:pPr>
        <w:pStyle w:val="Heading2"/>
        <w:keepNext/>
        <w:spacing w:after="110" w:before="320"/>
      </w:pPr>
      <w:r>
        <w:rPr>
          <w:rFonts w:ascii="Calibri" w:cs="Calibri" w:eastAsia="Calibri" w:hAnsi="Calibri"/>
          <w:b/>
          <w:bCs/>
          <w:sz w:val="27"/>
          <w:szCs w:val="27"/>
        </w:rPr>
        <w:t xml:space="preserve">Yorum kuralları</w:t>
      </w:r>
    </w:p>
    <w:p>
      <w:pPr>
        <w:pStyle w:val="ListParagraph"/>
        <w:numPr>
          <w:ilvl w:val="0"/>
          <w:numId w:val="3"/>
        </w:numPr>
        <w:spacing w:after="80" w:line="280"/>
      </w:pPr>
      <w:r>
        <w:rPr>
          <w:rFonts w:ascii="Calibri" w:cs="Calibri" w:eastAsia="Calibri" w:hAnsi="Calibri"/>
          <w:b/>
          <w:bCs/>
          <w:sz w:val="22"/>
          <w:szCs w:val="22"/>
        </w:rPr>
        <w:t xml:space="preserve">Çalışan başına EBIT artarken kadro küçülüyorsa</w:t>
      </w:r>
      <w:r>
        <w:rPr>
          <w:rFonts w:ascii="Calibri" w:cs="Calibri" w:eastAsia="Calibri" w:hAnsi="Calibri"/>
          <w:sz w:val="22"/>
          <w:szCs w:val="22"/>
        </w:rPr>
        <w:t xml:space="preserve"> artışın kaynağı üretkenlik değil, paydadır.</w:t>
      </w:r>
    </w:p>
    <w:p>
      <w:pPr>
        <w:pStyle w:val="ListParagraph"/>
        <w:numPr>
          <w:ilvl w:val="0"/>
          <w:numId w:val="3"/>
        </w:numPr>
        <w:spacing w:after="80" w:line="280"/>
      </w:pPr>
      <w:r>
        <w:rPr>
          <w:rFonts w:ascii="Calibri" w:cs="Calibri" w:eastAsia="Calibri" w:hAnsi="Calibri"/>
          <w:b/>
          <w:bCs/>
          <w:sz w:val="22"/>
          <w:szCs w:val="22"/>
        </w:rPr>
        <w:t xml:space="preserve">Getiri oranı düşerken çalışan başına EBIT sabitse</w:t>
      </w:r>
      <w:r>
        <w:rPr>
          <w:rFonts w:ascii="Calibri" w:cs="Calibri" w:eastAsia="Calibri" w:hAnsi="Calibri"/>
          <w:sz w:val="22"/>
          <w:szCs w:val="22"/>
        </w:rPr>
        <w:t xml:space="preserve"> işgücü maliyeti üretilen değerden hızlı artıyordur.</w:t>
      </w:r>
    </w:p>
    <w:p>
      <w:pPr>
        <w:pStyle w:val="ListParagraph"/>
        <w:numPr>
          <w:ilvl w:val="0"/>
          <w:numId w:val="3"/>
        </w:numPr>
        <w:spacing w:after="80" w:line="280"/>
      </w:pPr>
      <w:r>
        <w:rPr>
          <w:rFonts w:ascii="Calibri" w:cs="Calibri" w:eastAsia="Calibri" w:hAnsi="Calibri"/>
          <w:b/>
          <w:bCs/>
          <w:sz w:val="22"/>
          <w:szCs w:val="22"/>
        </w:rPr>
        <w:t xml:space="preserve">Gelir bazlı ve kâr bazlı oranlar farklı yöne gidiyorsa</w:t>
      </w:r>
      <w:r>
        <w:rPr>
          <w:rFonts w:ascii="Calibri" w:cs="Calibri" w:eastAsia="Calibri" w:hAnsi="Calibri"/>
          <w:sz w:val="22"/>
          <w:szCs w:val="22"/>
        </w:rPr>
        <w:t xml:space="preserve"> sorun üretkenlikte değil maliyet yapısındadır: Çalışan başına gelir artarken EBIT düşüyorsa marj eriyor demektir.</w:t>
      </w:r>
    </w:p>
    <w:p>
      <w:pPr>
        <w:pStyle w:val="ListParagraph"/>
        <w:numPr>
          <w:ilvl w:val="0"/>
          <w:numId w:val="3"/>
        </w:numPr>
        <w:spacing w:after="80" w:line="280"/>
      </w:pPr>
      <w:r>
        <w:rPr>
          <w:rFonts w:ascii="Calibri" w:cs="Calibri" w:eastAsia="Calibri" w:hAnsi="Calibri"/>
          <w:b/>
          <w:bCs/>
          <w:sz w:val="22"/>
          <w:szCs w:val="22"/>
        </w:rPr>
        <w:t xml:space="preserve">Sonuç beklenenin altındaysa hemen olumsuz yorumlamayın.</w:t>
      </w:r>
      <w:r>
        <w:rPr>
          <w:rFonts w:ascii="Calibri" w:cs="Calibri" w:eastAsia="Calibri" w:hAnsi="Calibri"/>
          <w:sz w:val="22"/>
          <w:szCs w:val="22"/>
        </w:rPr>
        <w:t xml:space="preserve"> Genişleyen üretim, yeni ürün hattı, yeniden yapılanma ya da işgücü eğitimine yapılan yatırım kısa vadede oranı düşürür.</w:t>
      </w:r>
    </w:p>
    <w:p>
      <w:pPr>
        <w:pStyle w:val="ListParagraph"/>
        <w:numPr>
          <w:ilvl w:val="0"/>
          <w:numId w:val="3"/>
        </w:numPr>
        <w:spacing w:after="80" w:line="280"/>
      </w:pPr>
      <w:r>
        <w:rPr>
          <w:rFonts w:ascii="Calibri" w:cs="Calibri" w:eastAsia="Calibri" w:hAnsi="Calibri"/>
          <w:b/>
          <w:bCs/>
          <w:sz w:val="22"/>
          <w:szCs w:val="22"/>
        </w:rPr>
        <w:t xml:space="preserve">Getiri oranını tek dönemle yorumlamayın.</w:t>
      </w:r>
    </w:p>
    <w:p>
      <w:pPr>
        <w:pStyle w:val="ListParagraph"/>
        <w:numPr>
          <w:ilvl w:val="0"/>
          <w:numId w:val="3"/>
        </w:numPr>
        <w:spacing w:after="80" w:line="280"/>
      </w:pPr>
      <w:r>
        <w:rPr>
          <w:rFonts w:ascii="Calibri" w:cs="Calibri" w:eastAsia="Calibri" w:hAnsi="Calibri"/>
          <w:b/>
          <w:bCs/>
          <w:sz w:val="22"/>
          <w:szCs w:val="22"/>
        </w:rPr>
        <w:t xml:space="preserve">STK sonuçlarında oranın yanına ölçeği yazın.</w:t>
      </w:r>
    </w:p>
    <w:p>
      <w:pPr>
        <w:pStyle w:val="ListParagraph"/>
        <w:numPr>
          <w:ilvl w:val="0"/>
          <w:numId w:val="3"/>
        </w:numPr>
        <w:spacing w:after="80" w:line="280"/>
      </w:pPr>
      <w:r>
        <w:rPr>
          <w:rFonts w:ascii="Calibri" w:cs="Calibri" w:eastAsia="Calibri" w:hAnsi="Calibri"/>
          <w:b/>
          <w:bCs/>
          <w:sz w:val="22"/>
          <w:szCs w:val="22"/>
        </w:rPr>
        <w:t xml:space="preserve">Kamu kurumlarında bu oranları zorlamayın.</w:t>
      </w:r>
    </w:p>
    <w:p>
      <w:pPr>
        <w:pStyle w:val="Heading2"/>
        <w:keepNext/>
        <w:spacing w:after="110" w:before="320"/>
      </w:pPr>
      <w:r>
        <w:rPr>
          <w:rFonts w:ascii="Calibri" w:cs="Calibri" w:eastAsia="Calibri" w:hAnsi="Calibri"/>
          <w:b/>
          <w:bCs/>
          <w:sz w:val="27"/>
          <w:szCs w:val="27"/>
        </w:rPr>
        <w:t xml:space="preserve">Sınırlamalar ve raporlama</w:t>
      </w:r>
    </w:p>
    <w:p>
      <w:pPr>
        <w:spacing w:after="140" w:line="288"/>
        <w:jc w:val="left"/>
      </w:pPr>
      <w:r>
        <w:rPr>
          <w:rFonts w:ascii="Calibri" w:cs="Calibri" w:eastAsia="Calibri" w:hAnsi="Calibri"/>
          <w:sz w:val="22"/>
          <w:szCs w:val="22"/>
        </w:rPr>
        <w:t xml:space="preserve">Şartnamenin sınırları açıktır. Payda oynadıkça oran oynar: Çalışan sayısı, TZE ve geçici işgücü dahil hesap üç farklı sonuç verir. Metrik sektöre bağımlıdır; sermaye yoğun bir kurumun çalışan başına geliri, emek yoğun bir kurumunkinden yapısal olarak yüksektir ve oran üretkenlik farkını değil iş modeli farkını gösterebilir. Aynı sektörde olmayan iki kurumun çalışan başına geliri karşılaştırıldığında ölçülen şey üretkenlik değil, iş modelidir. Kadro küçültme oranı iyileştirir; bu nedenle getiri oranı, devir, performans ve öngörülen kadro değişiklikleriyle birlikte okunmalıdır. Son olarak oran nedeni söylemez: Üretkenlik oranı bir sonuç göstergesidir; nedeni bulmak için maliyet, devir, beceri ve süreç metrikleriyle birlikte incelenmesi gerekir.</w:t>
      </w:r>
    </w:p>
    <w:p>
      <w:pPr>
        <w:spacing w:after="140" w:line="288"/>
        <w:jc w:val="left"/>
      </w:pPr>
      <w:r>
        <w:rPr>
          <w:rFonts w:ascii="Calibri" w:cs="Calibri" w:eastAsia="Calibri" w:hAnsi="Calibri"/>
          <w:sz w:val="22"/>
          <w:szCs w:val="22"/>
        </w:rPr>
        <w:t xml:space="preserve">Şartname üretkenlik ölçümünün tek taraflı kurulmamasını da ister: Çalışanların ve varsa çalışan temsilcilerinin, iş konseylerinin ve sendika temsilcilerinin üretkenlik ve ölçümü konusunda istişareye dahil edilebileceğini açıkça belirtir. Bu, üretkenlik göstergelerinin çalışanlar için bir baskı aracı olarak algılanmasını önler ve metriğin kabul edilebilirliğini artırır.</w:t>
      </w:r>
    </w:p>
    <w:p>
      <w:pPr>
        <w:spacing w:after="140" w:line="288"/>
        <w:jc w:val="left"/>
      </w:pPr>
      <w:r>
        <w:rPr>
          <w:rFonts w:ascii="Calibri" w:cs="Calibri" w:eastAsia="Calibri" w:hAnsi="Calibri"/>
          <w:sz w:val="22"/>
          <w:szCs w:val="22"/>
        </w:rPr>
        <w:t xml:space="preserve">Raporlamada İK hizmet birimleri tüm metrikleri, işgücü maliyeti bileşenlerini, kırılımları ve payda tanımını çeyreklik analitik raporda görür. Üst yönetim çalışan başına EBIT ve getiri oranının üç ila beş yıllık eğilimini ve hedefe göre sapmayı skor kartında; hat yönetimi kendi birimlerinin sonuçlarını kadro ve TZE ile birlikte; finans ve yatırımcı ilişkileri bütçelenen ile fiili değerleri; dış paydaşlar ise ISO 30414 ile uyumlu karşılaştırılabilir göstergeleri yöntem dipnotuyla görür. Her raporda kurum türü, payda tanımı, TCOW tanımı, dönem ve karşılaştırma tabanı yazılmalıdır.</w:t>
      </w:r>
    </w:p>
    <w:p>
      <w:pPr>
        <w:pStyle w:val="Heading1"/>
        <w:keepNext/>
        <w:pageBreakBefore/>
        <w:spacing w:after="100" w:before="0"/>
      </w:pPr>
      <w:r>
        <w:rPr>
          <w:rFonts w:ascii="Calibri" w:cs="Calibri" w:eastAsia="Calibri" w:hAnsi="Calibri"/>
          <w:b/>
          <w:bCs/>
          <w:color w:val="0B5C8A"/>
          <w:sz w:val="34"/>
          <w:szCs w:val="34"/>
        </w:rPr>
        <w:t xml:space="preserve">6.2  Maliyet Metrikleri Kümesi</w:t>
      </w:r>
    </w:p>
    <w:p>
      <w:pPr>
        <w:keepNext/>
        <w:pBdr>
          <w:bottom w:val="single" w:color="0B5C8A" w:sz="8" w:space="6"/>
        </w:pBdr>
        <w:spacing w:after="220"/>
      </w:pPr>
      <w:r>
        <w:rPr>
          <w:rFonts w:ascii="Calibri" w:cs="Calibri" w:eastAsia="Calibri" w:hAnsi="Calibri"/>
          <w:i/>
          <w:iCs/>
          <w:color w:val="59636F"/>
          <w:sz w:val="26"/>
          <w:szCs w:val="26"/>
        </w:rPr>
        <w:t xml:space="preserve">ISO/TS 30427:2021 — Toplam işgücü maliyeti, dış işgücü maliyeti, ücret oranı ve toplam istihdam maliyeti.</w:t>
      </w:r>
    </w:p>
    <w:p>
      <w:pPr>
        <w:pStyle w:val="Heading2"/>
        <w:keepNext/>
        <w:spacing w:after="110" w:before="320"/>
      </w:pPr>
      <w:r>
        <w:rPr>
          <w:rFonts w:ascii="Calibri" w:cs="Calibri" w:eastAsia="Calibri" w:hAnsi="Calibri"/>
          <w:b/>
          <w:bCs/>
          <w:sz w:val="27"/>
          <w:szCs w:val="27"/>
        </w:rPr>
        <w:t xml:space="preserve">Standardın amacı ve konumu</w:t>
      </w:r>
    </w:p>
    <w:p>
      <w:pPr>
        <w:spacing w:after="140" w:line="288"/>
        <w:jc w:val="left"/>
      </w:pPr>
      <w:r>
        <w:rPr>
          <w:rFonts w:ascii="Calibri" w:cs="Calibri" w:eastAsia="Calibri" w:hAnsi="Calibri"/>
          <w:sz w:val="22"/>
          <w:szCs w:val="22"/>
        </w:rPr>
        <w:t xml:space="preserve">ISO/TS 30427, ISO 30414’ün maliyetler kümesini ayrıntılandıran bir teknik şartnamedir. Kurumların işgücü maliyetinin unsurlarını anlatır, iç ve dış raporlama için karşılaştırılabilir ölçümlerin formülünü verir ve maliyet verisini yorumlarken dikkate alınacak konuları vurgular. Dört metriği ele alır: toplam işgücü maliyeti, dış işgücü maliyeti, temel maaş ve ücret oranı ve toplam istihdam maliyeti. ISO 30414’ün maliyetler kümesindeki diğer metrikler başka belgelere bırakılmıştır: İşe alım başına maliyet ISO/TS 30407’ye (Kısım 3.3), işe alım ve devir maliyetleri ISO/TS 30421’e (Kısım 5.5).</w:t>
      </w:r>
    </w:p>
    <w:p>
      <w:pPr>
        <w:spacing w:after="140" w:line="288"/>
        <w:jc w:val="left"/>
      </w:pPr>
      <w:r>
        <w:rPr>
          <w:rFonts w:ascii="Calibri" w:cs="Calibri" w:eastAsia="Calibri" w:hAnsi="Calibri"/>
          <w:sz w:val="22"/>
          <w:szCs w:val="22"/>
        </w:rPr>
        <w:t xml:space="preserve">Şartname bir ölçme belgesidir. Maliyeti ölçer; maliyetin “iyi” ya da “kötü” olduğuna karar vermez. Bu, ilk bakışta bir eksiklik gibi görünür; ama bilinçli bir tercihtir. Yüksek işgücü maliyeti, yüksek nitelikli bir işgücüne yapılan bilinçli bir yatırım olabilir; düşük maliyet ise etkili bir yönetimin ya da yetersiz bir yatırımın işareti olabilir. Şartnamenin ifadesiyle insan sermayesini raporlamak, işgücünün bir yatırım olabileceğini kabul etmektir.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6038"/>
      </w:tblGrid>
      <w:tr>
        <w:trPr>
          <w:cantSplit/>
          <w:tblHeader/>
        </w:trPr>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9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Madde</w:t>
            </w:r>
          </w:p>
        </w:tc>
        <w:tc>
          <w:tcPr>
            <w:tcW w:type="dxa" w:w="60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Tanım ve amaç</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işgücü maliyeti</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w:t>
            </w:r>
          </w:p>
        </w:tc>
        <w:tc>
          <w:tcPr>
            <w:tcW w:type="dxa" w:w="6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emek maliyeti; toplam istihdam maliyeti ile dış işgücü maliyetini içerir. İnsana yapılan harcamayı nicelleştirir.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işgücü maliyeti</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w:t>
            </w:r>
          </w:p>
        </w:tc>
        <w:tc>
          <w:tcPr>
            <w:tcW w:type="dxa" w:w="6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Yükleniciler, danışmanlar, geçici işçiler ve gig çalışanları için harcamalar. Kurumun dış işgücüne bağımlılığını gösterir.</w:t>
            </w:r>
          </w:p>
        </w:tc>
      </w:tr>
      <w:tr>
        <w:trPr>
          <w:cantSplit/>
        </w:trPr>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Temel maaş ve ücret oranı</w:t>
            </w:r>
          </w:p>
        </w:tc>
        <w:tc>
          <w:tcPr>
            <w:tcW w:type="dxa" w:w="9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60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Tanımlı işgücü kategorilerindeki ortalama maaş ve ücretin FTE esasına göre oranı. Fırsat eşitliği politikasını izlemeye yardım eder.</w:t>
            </w:r>
          </w:p>
        </w:tc>
      </w:tr>
      <w:tr>
        <w:trPr>
          <w:cantSplit/>
        </w:trPr>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istihdam maliyeti</w:t>
            </w:r>
          </w:p>
        </w:tc>
        <w:tc>
          <w:tcPr>
            <w:tcW w:type="dxa" w:w="9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w:t>
            </w:r>
          </w:p>
        </w:tc>
        <w:tc>
          <w:tcPr>
            <w:tcW w:type="dxa" w:w="60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Ücret ve tazminat, yan haklar ve diğer doğrudan ilişkili istihdam maliyetleri. Kurumun insanlarına değer verdiğini göstermek için kullanılır.</w:t>
            </w:r>
          </w:p>
        </w:tc>
      </w:tr>
    </w:tbl>
    <w:p>
      <w:pPr>
        <w:spacing w:after="140"/>
      </w:pPr>
    </w:p>
    <w:p>
      <w:pPr>
        <w:pStyle w:val="Heading2"/>
        <w:keepNext/>
        <w:spacing w:after="110" w:before="320"/>
      </w:pPr>
      <w:r>
        <w:rPr>
          <w:rFonts w:ascii="Calibri" w:cs="Calibri" w:eastAsia="Calibri" w:hAnsi="Calibri"/>
          <w:b/>
          <w:bCs/>
          <w:sz w:val="27"/>
          <w:szCs w:val="27"/>
        </w:rPr>
        <w:t xml:space="preserve">Metrik 1: Toplam işgücü maliyeti</w:t>
      </w:r>
    </w:p>
    <w:p>
      <w:pPr>
        <w:spacing w:after="140" w:line="288"/>
        <w:jc w:val="left"/>
      </w:pPr>
      <w:r>
        <w:rPr>
          <w:rFonts w:ascii="Calibri" w:cs="Calibri" w:eastAsia="Calibri" w:hAnsi="Calibri"/>
          <w:sz w:val="22"/>
          <w:szCs w:val="22"/>
        </w:rPr>
        <w:t xml:space="preserve">Toplam işgücü maliyeti (toplam emek maliyeti), kurumun insana yaptığı harcamanın bütünüdür. Formülü şöyledir: Toplam çalışan tazminat maliyeti + toplam çalışan yan hak maliyeti + dış işgücü maliyeti. Eşdeğer biçimde: toplam istihdam maliyeti + dış işgücü maliyeti. Maaş ve tazminat, yan haklar ve diğer ücret ve ödeme maliyetleri ile doğrudan yönetilen koşullu (sözleşmeli ve geçici) işçilerin maliyeti bu toplamın içindedir.</w:t>
      </w:r>
    </w:p>
    <w:p>
      <w:pPr>
        <w:spacing w:after="140" w:line="288"/>
        <w:jc w:val="left"/>
      </w:pPr>
      <w:r>
        <w:rPr>
          <w:rFonts w:ascii="Calibri" w:cs="Calibri" w:eastAsia="Calibri" w:hAnsi="Calibri"/>
          <w:sz w:val="22"/>
          <w:szCs w:val="22"/>
        </w:rPr>
        <w:t xml:space="preserve">Bu metriğin en önemli yorum kuralı, toplamı kontrol etmektir. Şartnamenin kendi Tablo 1’i bu açıdan öğreticidir: “Toplam işgücü maliyeti” satırı 1.566.000.000 USD yazılmıştır; oysa 756.000.000 (istihdam) + 54.000.000 (dış) = 810.000.000’dur. Yazılan değer, istihdam alt toplamını iki kez eklemiştir (2 × 756 + 54 = 1.566; önceki yıl için 2 × 685 + 45 = 1.415). Bileşenlerin bir kez toplamı 730.000.000 ve 810.000.000’dur; yüzde değişim şartnamede %10,7 yazarken doğrusu %11,0’dır. Bu hata, bir standardın bile tablolarında alt toplam ile toplam ilişkisini doğrulamanın neden gerekli olduğunu gösterir.</w:t>
      </w:r>
    </w:p>
    <w:p>
      <w:pPr>
        <w:pStyle w:val="Heading3"/>
        <w:keepNext/>
        <w:spacing w:after="80" w:before="220"/>
      </w:pPr>
      <w:r>
        <w:rPr>
          <w:rFonts w:ascii="Calibri" w:cs="Calibri" w:eastAsia="Calibri" w:hAnsi="Calibri"/>
          <w:b/>
          <w:bCs/>
          <w:color w:val="0B5C8A"/>
          <w:sz w:val="23"/>
          <w:szCs w:val="23"/>
        </w:rPr>
        <w:t xml:space="preserve">Şartnamenin rapor örneği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1800"/>
        <w:gridCol w:w="1738"/>
      </w:tblGrid>
      <w:tr>
        <w:trPr>
          <w:cantSplit/>
          <w:tblHeader/>
        </w:trPr>
        <w:tc>
          <w:tcPr>
            <w:tcW w:type="dxa" w:w="4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İşgücü maliyeti (USD)</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yıl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Cari yıl</w:t>
            </w:r>
          </w:p>
        </w:tc>
        <w:tc>
          <w:tcPr>
            <w:tcW w:type="dxa" w:w="1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Değişim (%)</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maaşı</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464.000.000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510.000.000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9,9</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İkramiye ve teşvik</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70.000.000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75.000.000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7,1</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Yan haklar</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150.000.000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170.000.000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13,3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Diğer ücretler</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istihdam maliyeti</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685.000.000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756.000.000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işgücü maliyetleri</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45.000.000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54.000.000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20,0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işgücü maliyeti (bileşenlerin bir kez toplamı)</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730.000.000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810.000.000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11,0</w:t>
            </w:r>
          </w:p>
        </w:tc>
      </w:tr>
    </w:tbl>
    <w:p>
      <w:pPr>
        <w:spacing w:after="140"/>
      </w:pPr>
    </w:p>
    <w:p>
      <w:pPr>
        <w:spacing w:after="140" w:line="288"/>
        <w:jc w:val="left"/>
      </w:pPr>
      <w:r>
        <w:rPr>
          <w:rFonts w:ascii="Calibri" w:cs="Calibri" w:eastAsia="Calibri" w:hAnsi="Calibri"/>
          <w:sz w:val="22"/>
          <w:szCs w:val="22"/>
        </w:rPr>
        <w:t xml:space="preserve">Bu tablo bileşen hızlarının neden ayrı ayrı okunması gerektiğini gösterir. Toplam istihdam maliyeti %10,4 artarken yan haklar %13,3, maaşlar %9,9 ve dış işgücü %20 artmıştır; toplamdaki artış bu farklı hızların bileşimidir. Dış işgücünün %20 artışla en hızlı büyüyen kalem olması ayrı bir inceleme gerektirir: Artış esneklik stratejisinden mi, yoksa işe alım güçlüğünden mi gelmektedir?</w:t>
      </w:r>
    </w:p>
    <w:p>
      <w:pPr>
        <w:pStyle w:val="Heading2"/>
        <w:keepNext/>
        <w:spacing w:after="110" w:before="320"/>
      </w:pPr>
      <w:r>
        <w:rPr>
          <w:rFonts w:ascii="Calibri" w:cs="Calibri" w:eastAsia="Calibri" w:hAnsi="Calibri"/>
          <w:b/>
          <w:bCs/>
          <w:sz w:val="27"/>
          <w:szCs w:val="27"/>
        </w:rPr>
        <w:t xml:space="preserve">Metrik 2: Dış işgücü maliyeti</w:t>
      </w:r>
    </w:p>
    <w:p>
      <w:pPr>
        <w:spacing w:after="140" w:line="288"/>
        <w:jc w:val="left"/>
      </w:pPr>
      <w:r>
        <w:rPr>
          <w:rFonts w:ascii="Calibri" w:cs="Calibri" w:eastAsia="Calibri" w:hAnsi="Calibri"/>
          <w:sz w:val="22"/>
          <w:szCs w:val="22"/>
        </w:rPr>
        <w:t xml:space="preserve">Dış işgücü maliyeti, bağımsız yükleniciler, koşullu işçiler, geçici işçiler ve dış kaynaklı (outsource) işgücü maliyetlerinin toplamıdır; geçici işçi faturaları, ajans ücretleri, yüklenici ve danışman maliyetleri dahildir. Şartname bu metriği, dış işgücü maliyetinin iç işgücü maliyetine göre durumunun kurumun dış işgücüne bağımlılığını gösterdiği için şiddetle önerir. Geleneksel kalıcı istihdam yapısı, değişen dış ve ekonomik bağlam karşısında zorlanmaktadır; dış işgücü bu esnekliğin göstergesidir. Aynı zamanda toplam maliyeti yönetmek ve verimlilik ile esneklik dengesini kurmak için operasyonel ve çoğu zaman stratejik bir ölçüm aracıdır.</w:t>
      </w:r>
    </w:p>
    <w:p>
      <w:pPr>
        <w:spacing w:after="140" w:line="288"/>
        <w:jc w:val="left"/>
      </w:pPr>
      <w:r>
        <w:rPr>
          <w:rFonts w:ascii="Calibri" w:cs="Calibri" w:eastAsia="Calibri" w:hAnsi="Calibri"/>
          <w:sz w:val="22"/>
          <w:szCs w:val="22"/>
        </w:rPr>
        <w:t xml:space="preserve">Raporlamada şartname gerçek toplamların kullanılmasını, ancak ayrıca güncel ya da en yakın gerçek maliyetlerle tam yıl yıllıklandırılmış ölçüm yapılmasını önerir. Çünkü altı aylık bir toplam, yıllık bütçeyle doğrudan karşılaştırılamaz. Dış işgücü önemliyse ayrı raporlanması da tercih edilebilir; çünkü sayıdaki küçük bir iç işgücü azalması, dış işgücü artışıyla telafi edilmiş olabilir ve yalnızca kadro sayısına bakan bir okuma bunu gözden kaçırır.</w:t>
      </w:r>
    </w:p>
    <w:p>
      <w:pPr>
        <w:pStyle w:val="Heading3"/>
        <w:keepNext/>
        <w:spacing w:after="80" w:before="220"/>
      </w:pPr>
      <w:r>
        <w:rPr>
          <w:rFonts w:ascii="Calibri" w:cs="Calibri" w:eastAsia="Calibri" w:hAnsi="Calibri"/>
          <w:b/>
          <w:bCs/>
          <w:color w:val="0B5C8A"/>
          <w:sz w:val="23"/>
          <w:szCs w:val="23"/>
        </w:rPr>
        <w:t xml:space="preserve">Kurgusal örnek: Dış işgücü dökümü</w:t>
      </w:r>
    </w:p>
    <w:p>
      <w:pPr>
        <w:spacing w:after="140" w:line="288"/>
        <w:jc w:val="left"/>
      </w:pPr>
      <w:r>
        <w:rPr>
          <w:rFonts w:ascii="Calibri" w:cs="Calibri" w:eastAsia="Calibri" w:hAnsi="Calibri"/>
          <w:sz w:val="22"/>
          <w:szCs w:val="22"/>
        </w:rPr>
        <w:t xml:space="preserve">Anadolu Örnek A.Ş.’nin cari yıl dış işgücü maliyeti 48 milyon TL’dir. Dökümü şöyledir.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1800"/>
        <w:gridCol w:w="1738"/>
      </w:tblGrid>
      <w:tr>
        <w:trPr>
          <w:cantSplit/>
          <w:tblHeader/>
        </w:trPr>
        <w:tc>
          <w:tcPr>
            <w:tcW w:type="dxa" w:w="4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Kalem (bin TL)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yıl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Cari yıl</w:t>
            </w:r>
          </w:p>
        </w:tc>
        <w:tc>
          <w:tcPr>
            <w:tcW w:type="dxa" w:w="1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Değişim (%)</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Bağımsız yükleniciler</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7.200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9.600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Koşullu işçiler</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10.800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14.400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Geçici işçiler</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8.100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10.800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kaynaklı (outsource) işgücü</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9.900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13.200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dış işgücü maliyeti</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bl>
    <w:p>
      <w:pPr>
        <w:spacing w:after="140"/>
      </w:pPr>
    </w:p>
    <w:p>
      <w:pPr>
        <w:spacing w:after="140" w:line="288"/>
        <w:jc w:val="left"/>
      </w:pPr>
      <w:r>
        <w:rPr>
          <w:rFonts w:ascii="Calibri" w:cs="Calibri" w:eastAsia="Calibri" w:hAnsi="Calibri"/>
          <w:sz w:val="22"/>
          <w:szCs w:val="22"/>
        </w:rPr>
        <w:t xml:space="preserve">Dört kalemin hepsi aynı oranda (%33,3) artmıştır; bu, artışın belirli bir kalemden değil, genel bir dış işgücü kullanım artışından geldiğini düşündürür. Dış işgücü maliyetinin istihdam maliyetine oranı önceki yıl 36 ÷ 400 = %9,0 iken cari yıl 48 ÷ 432 = %11,1’e çıkmıştır; yani kurumun dış işgücüne bağımlılığı iki puan artmıştır. Bu durum, Kısım 3’teki işe alım metrikleriyle (doldurulamayan talepler, doldurma süresi) birlikte okunduğunda, açık pozisyonların dış işgücüyle geçici olarak kapatıldığı sonucuna varılabilir. Bu da maliyeti iki kez yükseltir: Hem dış işgücü hem de işe alım çabası için ödeme yapılır.</w:t>
      </w:r>
    </w:p>
    <w:p>
      <w:pPr>
        <w:pStyle w:val="Heading2"/>
        <w:keepNext/>
        <w:spacing w:after="110" w:before="320"/>
      </w:pPr>
      <w:r>
        <w:rPr>
          <w:rFonts w:ascii="Calibri" w:cs="Calibri" w:eastAsia="Calibri" w:hAnsi="Calibri"/>
          <w:b/>
          <w:bCs/>
          <w:sz w:val="27"/>
          <w:szCs w:val="27"/>
        </w:rPr>
        <w:t xml:space="preserve">Metrik 3: Temel maaş ve ücret oranı</w:t>
      </w:r>
    </w:p>
    <w:p>
      <w:pPr>
        <w:spacing w:after="140" w:line="288"/>
        <w:jc w:val="left"/>
      </w:pPr>
      <w:r>
        <w:rPr>
          <w:rFonts w:ascii="Calibri" w:cs="Calibri" w:eastAsia="Calibri" w:hAnsi="Calibri"/>
          <w:sz w:val="22"/>
          <w:szCs w:val="22"/>
        </w:rPr>
        <w:t xml:space="preserve">Ücret oranı, kurumca tanımlanan işgücü kategorilerindeki ortalama maaş ve ücretin tam zaman eşdeğeri (FTE) esasına göre oran olarak raporlanmasıdır. Şartnameye göre bu metrik, kurumun fırsat eşitliği politikasını uygulayıp uygulamadığını belirlemeye yardımcı olur. Bu, Kısım 5.3’teki ücret farkı ölçüsüyle doğrudan ilişkilidir: Orada kadın ve erkek ortalama ücretleri karşılaştırılırken, burada herhangi bir tanımlı kategori (üst yönetim, belirli bir iş ailesi, belirli bir bölge) tüm çalışanların ortalamasıyla karşılaştırılır.</w:t>
      </w:r>
    </w:p>
    <w:p>
      <w:pPr>
        <w:spacing w:after="140" w:line="288"/>
        <w:jc w:val="left"/>
      </w:pPr>
      <w:r>
        <w:rPr>
          <w:rFonts w:ascii="Calibri" w:cs="Calibri" w:eastAsia="Calibri" w:hAnsi="Calibri"/>
          <w:sz w:val="22"/>
          <w:szCs w:val="22"/>
        </w:rPr>
        <w:t xml:space="preserve">Şartname iki formül yönü verir. Ana formül (madde 6.3) tüm çalışanların ortalama toplam ücretini paya, tanımlı kategorinin yıllık toplam ücretini paydaya koyar. Alternatif formül (6.4.2 ve 6.4.3) tersini yapar. Şartnamenin örneğinde aynı ilişki bir yerde 0,5:1, başka yerde 2:1 olarak sunulur ve hangisinin tercih edileceği söylenmez. Bu nedenle raporda hangi yönün kullanıldığı mutlaka yazılmalıdır.</w:t>
      </w:r>
    </w:p>
    <w:p>
      <w:pPr>
        <w:pStyle w:val="Heading3"/>
        <w:keepNext/>
        <w:spacing w:after="80" w:before="220"/>
      </w:pPr>
      <w:r>
        <w:rPr>
          <w:rFonts w:ascii="Calibri" w:cs="Calibri" w:eastAsia="Calibri" w:hAnsi="Calibri"/>
          <w:b/>
          <w:bCs/>
          <w:color w:val="0B5C8A"/>
          <w:sz w:val="23"/>
          <w:szCs w:val="23"/>
        </w:rPr>
        <w:t xml:space="preserve">Kurgusal örnek: Üst yönetim ücret oranı</w:t>
      </w:r>
    </w:p>
    <w:p>
      <w:pPr>
        <w:spacing w:after="140" w:line="288"/>
        <w:jc w:val="left"/>
      </w:pPr>
      <w:r>
        <w:rPr>
          <w:rFonts w:ascii="Calibri" w:cs="Calibri" w:eastAsia="Calibri" w:hAnsi="Calibri"/>
          <w:sz w:val="22"/>
          <w:szCs w:val="22"/>
        </w:rPr>
        <w:t xml:space="preserve">Anadolu Örnek A.Ş.’nin tüm çalışanlarının ortalama toplam yıllık ücreti cari yıl 300.000 TL’dir (360 milyon TL ÷ 1.200). Üst yönetim kategorisinin ortalama yıllık toplam ücreti 2.400.000 TL’dir. Önceki yıl tüm çalışanların ortalaması 265.600 TL, üst yönetimin 1.859.200 TL idi.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800"/>
        <w:gridCol w:w="1338"/>
      </w:tblGrid>
      <w:tr>
        <w:trPr>
          <w:cantSplit/>
          <w:tblHeader/>
        </w:trPr>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Yıl</w:t>
            </w:r>
          </w:p>
        </w:tc>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Tüm çalışanlar ortalama (TL)</w:t>
            </w:r>
          </w:p>
        </w:tc>
        <w:tc>
          <w:tcPr>
            <w:tcW w:type="dxa" w:w="2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Üst yönetim ortalama (TL)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Kategori ÷ ortalama</w:t>
            </w:r>
          </w:p>
        </w:tc>
        <w:tc>
          <w:tcPr>
            <w:tcW w:type="dxa" w:w="13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Ortalama ÷ kategori</w:t>
            </w:r>
          </w:p>
        </w:tc>
      </w:tr>
      <w:tr>
        <w:trPr>
          <w:cantSplit/>
        </w:trPr>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Önceki yıl</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265.600</w:t>
            </w:r>
          </w:p>
        </w:tc>
        <w:tc>
          <w:tcPr>
            <w:tcW w:type="dxa" w:w="2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1.859.200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7,0 : 1</w:t>
            </w:r>
          </w:p>
        </w:tc>
        <w:tc>
          <w:tcPr>
            <w:tcW w:type="dxa" w:w="13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0,14 : 1</w:t>
            </w:r>
          </w:p>
        </w:tc>
      </w:tr>
      <w:tr>
        <w:trPr>
          <w:cantSplit/>
        </w:trPr>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Cari yıl</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300.000</w:t>
            </w:r>
          </w:p>
        </w:tc>
        <w:tc>
          <w:tcPr>
            <w:tcW w:type="dxa" w:w="2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2.400.000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 : 1</w:t>
            </w:r>
          </w:p>
        </w:tc>
        <w:tc>
          <w:tcPr>
            <w:tcW w:type="dxa" w:w="13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0,125 : 1</w:t>
            </w:r>
          </w:p>
        </w:tc>
      </w:tr>
    </w:tbl>
    <w:p>
      <w:pPr>
        <w:spacing w:after="140"/>
      </w:pPr>
    </w:p>
    <w:p>
      <w:pPr>
        <w:spacing w:after="140" w:line="288"/>
        <w:jc w:val="left"/>
      </w:pPr>
      <w:r>
        <w:rPr>
          <w:rFonts w:ascii="Calibri" w:cs="Calibri" w:eastAsia="Calibri" w:hAnsi="Calibri"/>
          <w:sz w:val="22"/>
          <w:szCs w:val="22"/>
        </w:rPr>
        <w:t xml:space="preserve">Üst yönetimin ücreti tüm çalışanların ortalamasına göre 7 katından 8 katına çıkmıştır. Ortalama ücretteki artış %13,0 iken (265.600’den 300.000’e) üst yönetim ücretindeki artış %29,1’dir (1.859.200’den 2.400.000’e). Bu fark ücret politikasının bilinçli bir sonucu olabilir; ama ücret oranı bunu görünür kılar ve çalışan temsilcileriyle, yönetim kuruluyla ve yatırımcılarla konuşulmasını mümkün kılar. Standart, ücret oranının öngörü etkeni içermediğini söyler; yani oranın hangi yönde değişeceği önceden tahmin edilecek bir değişkenle bağlanmamıştır.</w:t>
      </w:r>
    </w:p>
    <w:p>
      <w:pPr>
        <w:pStyle w:val="Heading2"/>
        <w:keepNext/>
        <w:spacing w:after="110" w:before="320"/>
      </w:pPr>
      <w:r>
        <w:rPr>
          <w:rFonts w:ascii="Calibri" w:cs="Calibri" w:eastAsia="Calibri" w:hAnsi="Calibri"/>
          <w:b/>
          <w:bCs/>
          <w:sz w:val="27"/>
          <w:szCs w:val="27"/>
        </w:rPr>
        <w:t xml:space="preserve">Metrik 4: Toplam istihdam maliyeti</w:t>
      </w:r>
    </w:p>
    <w:p>
      <w:pPr>
        <w:spacing w:after="140" w:line="288"/>
        <w:jc w:val="left"/>
      </w:pPr>
      <w:r>
        <w:rPr>
          <w:rFonts w:ascii="Calibri" w:cs="Calibri" w:eastAsia="Calibri" w:hAnsi="Calibri"/>
          <w:sz w:val="22"/>
          <w:szCs w:val="22"/>
        </w:rPr>
        <w:t xml:space="preserve">Toplam istihdam maliyeti (toplam çalışan emek maliyeti), ücret ve tazminat, çalışan yan hakları ve diğer doğrudan ilişkili istihdam maliyetlerinin toplamıdır. Amacı, kurumun insanlarına değer verdiğini ve paydaşlara sunduğu sürdürülebilir değer önerisini göstermektir. Şartnamenin örneğinde 510 + 75 + 170 + 1 = 756 milyon USD’dir. Kullanımı en yararlı olan biçimi, işgücünü pozisyon, performans düzeyi, kârlılık, verimlilik, bağlılık, kıdem ve hareketlilik gibi kesitlere bölüp maliyetleri karşılaştırmaktır; böyle kullanıldığında performans, verimlilik, devir ve bağlılıktaki artış ya da azalış eğilimlerinin öngörücüsü olur.</w:t>
      </w:r>
    </w:p>
    <w:p>
      <w:pPr>
        <w:pStyle w:val="Heading3"/>
        <w:keepNext/>
        <w:spacing w:after="80" w:before="220"/>
      </w:pPr>
      <w:r>
        <w:rPr>
          <w:rFonts w:ascii="Calibri" w:cs="Calibri" w:eastAsia="Calibri" w:hAnsi="Calibri"/>
          <w:b/>
          <w:bCs/>
          <w:color w:val="0B5C8A"/>
          <w:sz w:val="23"/>
          <w:szCs w:val="23"/>
        </w:rPr>
        <w:t xml:space="preserve">Kurgusal örnek: Birim maliyet ve kadro etkisi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800"/>
        <w:gridCol w:w="1800"/>
        <w:gridCol w:w="1738"/>
      </w:tblGrid>
      <w:tr>
        <w:trPr>
          <w:cantSplit/>
          <w:tblHeader/>
        </w:trPr>
        <w:tc>
          <w:tcPr>
            <w:tcW w:type="dxa" w:w="4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Kalem (milyon TL)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yıl</w:t>
            </w:r>
          </w:p>
        </w:tc>
        <w:tc>
          <w:tcPr>
            <w:tcW w:type="dxa" w:w="18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Cari yıl</w:t>
            </w:r>
          </w:p>
        </w:tc>
        <w:tc>
          <w:tcPr>
            <w:tcW w:type="dxa" w:w="17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Değişim (%)</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Maaş</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296</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318</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7,4</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İkramiye ve teşvik</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42</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16,7</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Yan haklar</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62</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66</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Diğer ücretler</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6</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istihdam maliyeti</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432</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işgücü maliyeti</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33,3</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işgücü maliyeti</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436</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10,1</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Ortalama çalışan sayısı</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1.250</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−4,0</w:t>
            </w:r>
          </w:p>
        </w:tc>
      </w:tr>
      <w:tr>
        <w:trPr>
          <w:cantSplit/>
        </w:trPr>
        <w:tc>
          <w:tcPr>
            <w:tcW w:type="dxa" w:w="4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istihdam maliyeti (TL)</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320.000</w:t>
            </w:r>
          </w:p>
        </w:tc>
        <w:tc>
          <w:tcPr>
            <w:tcW w:type="dxa" w:w="18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360.000</w:t>
            </w:r>
          </w:p>
        </w:tc>
        <w:tc>
          <w:tcPr>
            <w:tcW w:type="dxa" w:w="17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12,5</w:t>
            </w:r>
          </w:p>
        </w:tc>
      </w:tr>
      <w:tr>
        <w:trPr>
          <w:cantSplit/>
        </w:trPr>
        <w:tc>
          <w:tcPr>
            <w:tcW w:type="dxa" w:w="4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Toplam işgücü maliyetinin gelire oranı</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436 ÷ 900 = %48,4</w:t>
            </w:r>
          </w:p>
        </w:tc>
        <w:tc>
          <w:tcPr>
            <w:tcW w:type="dxa" w:w="18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480 ÷ 960 = %50,0</w:t>
            </w:r>
          </w:p>
        </w:tc>
        <w:tc>
          <w:tcPr>
            <w:tcW w:type="dxa" w:w="17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+1,6 puan</w:t>
            </w:r>
          </w:p>
        </w:tc>
      </w:tr>
    </w:tbl>
    <w:p>
      <w:pPr>
        <w:spacing w:after="140"/>
      </w:pPr>
    </w:p>
    <w:p>
      <w:pPr>
        <w:spacing w:after="140" w:line="288"/>
        <w:jc w:val="left"/>
      </w:pPr>
      <w:r>
        <w:rPr>
          <w:rFonts w:ascii="Calibri" w:cs="Calibri" w:eastAsia="Calibri" w:hAnsi="Calibri"/>
          <w:sz w:val="22"/>
          <w:szCs w:val="22"/>
        </w:rPr>
        <w:t xml:space="preserve">Tablo, maliyet artışını ayrıştırmanın değerini gösterir. Toplam istihdam maliyeti %8,0 artmıştır; ama kadro %4,0 küçüldüğü için çalışan başına maliyet %12,5 artmıştır. Yani artışın büyük kısmı daha çok çalışandan değil, çalışan başına daha yüksek ücretten gelmektedir. Şartname bu nedenle maliyet artışının FTE ve kadroyla birlikte okunmasını önerir: İşgücü büyüdüyse maliyetin artması doğaldır; kişi ya da FTE başına maliyet, artışın sayıdan mı yoksa birim maliyetten mi geldiğini ayırır. İşgücü maliyetinin gelire oranı da %48,4’ten %50,0’a çıkmıştır; bu, şartnamenin öngörü etkeni olarak anılan orandır ve yetenek yönetiminin finansal ağırlığını gösterir.</w:t>
      </w:r>
    </w:p>
    <w:p>
      <w:pPr>
        <w:pStyle w:val="Heading2"/>
        <w:keepNext/>
        <w:spacing w:after="110" w:before="320"/>
      </w:pPr>
      <w:r>
        <w:rPr>
          <w:rFonts w:ascii="Calibri" w:cs="Calibri" w:eastAsia="Calibri" w:hAnsi="Calibri"/>
          <w:b/>
          <w:bCs/>
          <w:sz w:val="27"/>
          <w:szCs w:val="27"/>
        </w:rPr>
        <w:t xml:space="preserve">İşgücü maliyeti payı ve yetenek yönetiminin finansal ağırlığı</w:t>
      </w:r>
    </w:p>
    <w:p>
      <w:pPr>
        <w:spacing w:after="140" w:line="288"/>
        <w:jc w:val="left"/>
      </w:pPr>
      <w:r>
        <w:rPr>
          <w:rFonts w:ascii="Calibri" w:cs="Calibri" w:eastAsia="Calibri" w:hAnsi="Calibri"/>
          <w:sz w:val="22"/>
          <w:szCs w:val="22"/>
        </w:rPr>
        <w:t xml:space="preserve">Şartnamenin öngörü etkeni, toplam işgücü maliyetinin toplam gelire ya da toplam işletme giderine oranıdır. Mantık şudur: İşgücü maliyeti toplam giderlerin ne kadar büyük payını oluşturuyorsa, temel çalışan ve işgücü değişkenlerindeki değişimin kuruma etkisi o kadar büyüktür. İşgücü maliyeti payı yüksek sektör ve kurumlarda, etkin yetenek yönetiminin değer yaratma ya da yok etme potansiyeli de aynı ölçüde yüksektir. Bir yazılım ya da danışmanlık şirketinde bu pay %70’i aşabilir; bir sermaye yoğun enerji ya da imalat şirketinde ise %15–20 olabilir.</w:t>
      </w:r>
    </w:p>
    <w:p>
      <w:pPr>
        <w:spacing w:after="140" w:line="288"/>
        <w:jc w:val="left"/>
      </w:pPr>
      <w:r>
        <w:rPr>
          <w:rFonts w:ascii="Calibri" w:cs="Calibri" w:eastAsia="Calibri" w:hAnsi="Calibri"/>
          <w:sz w:val="22"/>
          <w:szCs w:val="22"/>
        </w:rPr>
        <w:t xml:space="preserve">Bu, kitabın tamamı için bir sonuç çıkarır: Kısım 2’den 5’e kadar ölçülen her şey (planlama doğruluğu, işe alım hızı ve kalitesi, öğrenme yatırımı, bağlılık, devir) toplam maliyetin içindeki payı kadar kuruma finansal olarak yansır. İşgücü maliyeti payı %50 olan bir kurumda devrin 2 puan düşmesi ya da işe alım süresinin kısalması, payı %20 olan bir kuruma göre iki buçuk kat daha değerlidir. Bu nedenle önceliklendirme kararları yalnızca metrik değerlerine değil, işgücü maliyeti payına da göre yapılmalıdır.</w:t>
      </w:r>
    </w:p>
    <w:p>
      <w:pPr>
        <w:pStyle w:val="Heading2"/>
        <w:keepNext/>
        <w:spacing w:after="110" w:before="320"/>
      </w:pPr>
      <w:r>
        <w:rPr>
          <w:rFonts w:ascii="Calibri" w:cs="Calibri" w:eastAsia="Calibri" w:hAnsi="Calibri"/>
          <w:b/>
          <w:bCs/>
          <w:sz w:val="27"/>
          <w:szCs w:val="27"/>
        </w:rPr>
        <w:t xml:space="preserve">Bağlam etkenleri</w:t>
      </w:r>
    </w:p>
    <w:p>
      <w:pPr>
        <w:spacing w:after="140" w:line="288"/>
        <w:jc w:val="left"/>
      </w:pPr>
      <w:r>
        <w:rPr>
          <w:rFonts w:ascii="Calibri" w:cs="Calibri" w:eastAsia="Calibri" w:hAnsi="Calibri"/>
          <w:sz w:val="22"/>
          <w:szCs w:val="22"/>
        </w:rPr>
        <w:t xml:space="preserve">Şartname dört metrik için ortak bağlam etkenlerini sıralar: her ölçüm noktasındaki FTE ve kadro sayısı (anlamı değiştirecek kadar büyüdü ya da küçüldü mü?), kurumun yürüttüğü güncel faaliyetler (artan üretim ya da ürün genişlemesi, yeniden yapılanma, işgücünü eğitmeye yönelik faaliyetler), kültürel ve kuşak değişimleri, sektör beklentisi ve ekonomik etkenler (daralmalar ve genişlemeler). Toplam işgücü maliyeti ve toplam istihdam maliyeti için ayrıca işgücü bileşimi önemlidir: Küresel dağılım, eğitim, deneyim, iş düzeyi ve ücret uygulamaları maliyeti derinden etkiler. Sektörler arasında farklar çok büyüktür; ancak sektör içinde işgücü maliyeti kıyaslama için çok değerli bir geçmiş ve öngörü göstergesidir.</w:t>
      </w:r>
    </w:p>
    <w:p>
      <w:pPr>
        <w:pStyle w:val="Heading3"/>
        <w:keepNext/>
        <w:spacing w:after="80" w:before="220"/>
      </w:pPr>
      <w:r>
        <w:rPr>
          <w:rFonts w:ascii="Calibri" w:cs="Calibri" w:eastAsia="Calibri" w:hAnsi="Calibri"/>
          <w:b/>
          <w:bCs/>
          <w:color w:val="0B5C8A"/>
          <w:sz w:val="23"/>
          <w:szCs w:val="23"/>
        </w:rPr>
        <w:t xml:space="preserve">Kurgusal vaka: Maliyet baskısı ve çalışan deneyimi</w:t>
      </w:r>
    </w:p>
    <w:p>
      <w:pPr>
        <w:spacing w:after="140" w:line="288"/>
        <w:jc w:val="left"/>
      </w:pPr>
      <w:r>
        <w:rPr>
          <w:rFonts w:ascii="Calibri" w:cs="Calibri" w:eastAsia="Calibri" w:hAnsi="Calibri"/>
          <w:sz w:val="22"/>
          <w:szCs w:val="22"/>
        </w:rPr>
        <w:t xml:space="preserve">Anadolu Örnek A.Ş.’de yönetim, işgücü maliyetinin gelire oranını %50’den %46’ya indirmek için bir tasarruf programı başlatmayı düşünür. Programın üç kaleminden ilki dış işgücünü %15 azaltmaktır; ikincisi ikramiye ve teşvik tutarlarını %15 kısmaktır; üçüncüsü yan hak harcamalarını %5 kısmaktır. Finans ekibi tasarrufu kabaca hesaplar: Dış işgücünde 7,2 milyon TL, ikramiyede yaklaşık 6,3 milyon TL ve yan haklarda 3,3 milyon TL; toplam yaklaşık 16,8 milyon TL, yani gelirin %1,75’i. İK ekibi ise bu hesabı önceki kısımların metrikleriyle sınar: İkramiyenin kısılması bağlılığı ve gönüllü devri etkileyebilir; devir iki puan artarsa, Kısım 5’te hesaplanan ayrılma başına 62.000 TL maliyetle yaklaşık 24 kişilik ek ayrılma 1,5 milyon TL’lik ek maliyet getirir. Dış işgücünün azaltılması ise açık pozisyonların doldurulma süresini uzatır ve işe alım maliyetini yükseltir. Kurum sonuçta, yan haklarda ve dış işgücünde hedefli tasarruf yapmayı, ikramiyeyi korumayı seçer. Bu vaka kurgusaldır; ancak maliyet metriklerinin tek başına değil, bağlılık, devir ve işe alım metrikleriyle birlikte okunması gerektiğini gösterir.</w:t>
      </w:r>
    </w:p>
    <w:p>
      <w:pPr>
        <w:pStyle w:val="Heading2"/>
        <w:keepNext/>
        <w:spacing w:after="110" w:before="320"/>
      </w:pPr>
      <w:r>
        <w:rPr>
          <w:rFonts w:ascii="Calibri" w:cs="Calibri" w:eastAsia="Calibri" w:hAnsi="Calibri"/>
          <w:b/>
          <w:bCs/>
          <w:sz w:val="27"/>
          <w:szCs w:val="27"/>
        </w:rPr>
        <w:t xml:space="preserve">Yorum, sınırlamalar ve raporlama</w:t>
      </w:r>
    </w:p>
    <w:p>
      <w:pPr>
        <w:pStyle w:val="ListParagraph"/>
        <w:numPr>
          <w:ilvl w:val="0"/>
          <w:numId w:val="3"/>
        </w:numPr>
        <w:spacing w:after="80" w:line="280"/>
      </w:pPr>
      <w:r>
        <w:rPr>
          <w:rFonts w:ascii="Calibri" w:cs="Calibri" w:eastAsia="Calibri" w:hAnsi="Calibri"/>
          <w:b/>
          <w:bCs/>
          <w:sz w:val="22"/>
          <w:szCs w:val="22"/>
        </w:rPr>
        <w:t xml:space="preserve">Toplamı kontrol edin.</w:t>
      </w:r>
      <w:r>
        <w:rPr>
          <w:rFonts w:ascii="Calibri" w:cs="Calibri" w:eastAsia="Calibri" w:hAnsi="Calibri"/>
          <w:sz w:val="22"/>
          <w:szCs w:val="22"/>
        </w:rPr>
        <w:t xml:space="preserve"> Alt toplamları bir kez toplayın; standardın kendi tablosu bile bu hatayı yapmıştır.</w:t>
      </w:r>
    </w:p>
    <w:p>
      <w:pPr>
        <w:pStyle w:val="ListParagraph"/>
        <w:numPr>
          <w:ilvl w:val="0"/>
          <w:numId w:val="3"/>
        </w:numPr>
        <w:spacing w:after="80" w:line="280"/>
      </w:pPr>
      <w:r>
        <w:rPr>
          <w:rFonts w:ascii="Calibri" w:cs="Calibri" w:eastAsia="Calibri" w:hAnsi="Calibri"/>
          <w:b/>
          <w:bCs/>
          <w:sz w:val="22"/>
          <w:szCs w:val="22"/>
        </w:rPr>
        <w:t xml:space="preserve">Bileşen hızlarına ayrı ayrı bakın.</w:t>
      </w:r>
      <w:r>
        <w:rPr>
          <w:rFonts w:ascii="Calibri" w:cs="Calibri" w:eastAsia="Calibri" w:hAnsi="Calibri"/>
          <w:sz w:val="22"/>
          <w:szCs w:val="22"/>
        </w:rPr>
        <w:t xml:space="preserve"> Toplamdaki artış farklı hızların bileşimidir.</w:t>
      </w:r>
    </w:p>
    <w:p>
      <w:pPr>
        <w:pStyle w:val="ListParagraph"/>
        <w:numPr>
          <w:ilvl w:val="0"/>
          <w:numId w:val="3"/>
        </w:numPr>
        <w:spacing w:after="80" w:line="280"/>
      </w:pPr>
      <w:r>
        <w:rPr>
          <w:rFonts w:ascii="Calibri" w:cs="Calibri" w:eastAsia="Calibri" w:hAnsi="Calibri"/>
          <w:b/>
          <w:bCs/>
          <w:sz w:val="22"/>
          <w:szCs w:val="22"/>
        </w:rPr>
        <w:t xml:space="preserve">Dış işgücü artışını bağımlılık sinyali olarak okuyun.</w:t>
      </w:r>
      <w:r>
        <w:rPr>
          <w:rFonts w:ascii="Calibri" w:cs="Calibri" w:eastAsia="Calibri" w:hAnsi="Calibri"/>
          <w:sz w:val="22"/>
          <w:szCs w:val="22"/>
        </w:rPr>
        <w:t xml:space="preserve"> Esneklik stratejisinden mi, işe alım güçlüğünden mi geldiğini bağlamdan ayırın.</w:t>
      </w:r>
    </w:p>
    <w:p>
      <w:pPr>
        <w:pStyle w:val="ListParagraph"/>
        <w:numPr>
          <w:ilvl w:val="0"/>
          <w:numId w:val="3"/>
        </w:numPr>
        <w:spacing w:after="80" w:line="280"/>
      </w:pPr>
      <w:r>
        <w:rPr>
          <w:rFonts w:ascii="Calibri" w:cs="Calibri" w:eastAsia="Calibri" w:hAnsi="Calibri"/>
          <w:b/>
          <w:bCs/>
          <w:sz w:val="22"/>
          <w:szCs w:val="22"/>
        </w:rPr>
        <w:t xml:space="preserve">Dönem sonu ile yıllıklandırılmış değeri karıştırmayın.</w:t>
      </w:r>
      <w:r>
        <w:rPr>
          <w:rFonts w:ascii="Calibri" w:cs="Calibri" w:eastAsia="Calibri" w:hAnsi="Calibri"/>
          <w:sz w:val="22"/>
          <w:szCs w:val="22"/>
        </w:rPr>
        <w:t xml:space="preserve"> Altı aylık toplam yıllık bütçeyle doğrudan karşılaştırılamaz.</w:t>
      </w:r>
    </w:p>
    <w:p>
      <w:pPr>
        <w:pStyle w:val="ListParagraph"/>
        <w:numPr>
          <w:ilvl w:val="0"/>
          <w:numId w:val="3"/>
        </w:numPr>
        <w:spacing w:after="80" w:line="280"/>
      </w:pPr>
      <w:r>
        <w:rPr>
          <w:rFonts w:ascii="Calibri" w:cs="Calibri" w:eastAsia="Calibri" w:hAnsi="Calibri"/>
          <w:b/>
          <w:bCs/>
          <w:sz w:val="22"/>
          <w:szCs w:val="22"/>
        </w:rPr>
        <w:t xml:space="preserve">Ücret oranını yönüyle okuyun.</w:t>
      </w:r>
      <w:r>
        <w:rPr>
          <w:rFonts w:ascii="Calibri" w:cs="Calibri" w:eastAsia="Calibri" w:hAnsi="Calibri"/>
          <w:sz w:val="22"/>
          <w:szCs w:val="22"/>
        </w:rPr>
        <w:t xml:space="preserve"> 0,5:1 ve 2:1 aynı ilişkinin iki yönüdür.</w:t>
      </w:r>
    </w:p>
    <w:p>
      <w:pPr>
        <w:pStyle w:val="ListParagraph"/>
        <w:numPr>
          <w:ilvl w:val="0"/>
          <w:numId w:val="3"/>
        </w:numPr>
        <w:spacing w:after="80" w:line="280"/>
      </w:pPr>
      <w:r>
        <w:rPr>
          <w:rFonts w:ascii="Calibri" w:cs="Calibri" w:eastAsia="Calibri" w:hAnsi="Calibri"/>
          <w:b/>
          <w:bCs/>
          <w:sz w:val="22"/>
          <w:szCs w:val="22"/>
        </w:rPr>
        <w:t xml:space="preserve">Maliyet artışını FTE ve kadroyla birlikte okuyun.</w:t>
      </w:r>
      <w:r>
        <w:rPr>
          <w:rFonts w:ascii="Calibri" w:cs="Calibri" w:eastAsia="Calibri" w:hAnsi="Calibri"/>
          <w:sz w:val="22"/>
          <w:szCs w:val="22"/>
        </w:rPr>
        <w:t xml:space="preserve"> Kişi başı maliyet, sayı ve birim maliyet etkisini ayırır.</w:t>
      </w:r>
    </w:p>
    <w:p>
      <w:pPr>
        <w:pStyle w:val="ListParagraph"/>
        <w:numPr>
          <w:ilvl w:val="0"/>
          <w:numId w:val="3"/>
        </w:numPr>
        <w:spacing w:after="80" w:line="280"/>
      </w:pPr>
      <w:r>
        <w:rPr>
          <w:rFonts w:ascii="Calibri" w:cs="Calibri" w:eastAsia="Calibri" w:hAnsi="Calibri"/>
          <w:b/>
          <w:bCs/>
          <w:sz w:val="22"/>
          <w:szCs w:val="22"/>
        </w:rPr>
        <w:t xml:space="preserve">Sonuç beklenenin altındaysa hemen olumsuz yorumlamayın.</w:t>
      </w:r>
      <w:r>
        <w:rPr>
          <w:rFonts w:ascii="Calibri" w:cs="Calibri" w:eastAsia="Calibri" w:hAnsi="Calibri"/>
          <w:sz w:val="22"/>
          <w:szCs w:val="22"/>
        </w:rPr>
        <w:t xml:space="preserve"> Yeniden yapılanma, üretim artışı ya da işgücü eğitimi sayının anlamını değiştirebilir.</w:t>
      </w:r>
    </w:p>
    <w:p>
      <w:pPr>
        <w:spacing w:after="140" w:line="288"/>
        <w:jc w:val="left"/>
      </w:pPr>
      <w:r>
        <w:rPr>
          <w:rFonts w:ascii="Calibri" w:cs="Calibri" w:eastAsia="Calibri" w:hAnsi="Calibri"/>
          <w:sz w:val="22"/>
          <w:szCs w:val="22"/>
        </w:rPr>
        <w:t xml:space="preserve">Sınırlamalar da bilinmelidir. Şartname yorum eşiği vermez; iyi ya da kötü ücret oranı, hedef işgücü maliyeti payı ya da kabul edilebilir artış hızı için kurumun hedefleri ve sektör kıyaslaması kullanılır. Tablo 2’de “koşullu işçiler” ve “geçici işçiler” ayrı satırlardır, oysa madde 5.3 koşullu işgücünü geçici işçiler dahil tanımlar; satırların örtüşüp örtüşmediği belirtilmez. Madde 4.1 dış işgücü maliyetinin raporlama kapsamını kurumun belirlemesine bırakır; bu kapsam seçimi kıyaslanabilirliği etkiler. İşgücü maliyetinin gelire oranı ve FTE başına maliyet şartnamede formül olarak verilmez; rehber sayfasında türetilmiştir. Şartname para birimi ve ölçek konusunda tek bir biçim dayatmaz; farklı para birimlerinde ya da dönemlerde raporlanan maliyetleri birleştirmeden önce çevirin.</w:t>
      </w:r>
    </w:p>
    <w:p>
      <w:pPr>
        <w:spacing w:after="140" w:line="288"/>
        <w:jc w:val="left"/>
      </w:pPr>
      <w:r>
        <w:rPr>
          <w:rFonts w:ascii="Calibri" w:cs="Calibri" w:eastAsia="Calibri" w:hAnsi="Calibri"/>
          <w:sz w:val="22"/>
          <w:szCs w:val="22"/>
        </w:rPr>
        <w:t xml:space="preserve">Raporlamada İK hizmet birimleri tüm maliyet kalemlerini, istihdam ve dış işgücü kırılımını, pozisyon ve performans kesitlerini ve ücret oranını aylık ya da çeyreklik analitik raporda görür. Üst yönetim ve yönetim kurulu toplam işgücü maliyetini ve eğilimini, işgücü maliyeti payını (gelire oranı) ve dış işgücü bağımlılığını skor kartında; hat yönetimi kendi ekiplerinin maliyetlerini kadro ve FTE ile birlikte; finans ve hukuk bütçelenen ile fiili maliyeti, dış işgücü sözleşmelerini, yıllıklandırılmış değerleri ve ücret oranının hukuki boyutunu; dış paydaşlar (yatırımcı, finansal analist, sendika, medya, sektör grupları) ise karşılaştırılabilir toplam göstergeleri yöntem dipnotuyla görür.</w:t>
      </w:r>
    </w:p>
    <w:p>
      <w:pPr>
        <w:pStyle w:val="Heading2"/>
        <w:keepNext/>
        <w:spacing w:after="110" w:before="320"/>
      </w:pPr>
      <w:r>
        <w:rPr>
          <w:rFonts w:ascii="Calibri" w:cs="Calibri" w:eastAsia="Calibri" w:hAnsi="Calibri"/>
          <w:b/>
          <w:bCs/>
          <w:sz w:val="27"/>
          <w:szCs w:val="27"/>
        </w:rPr>
        <w:t xml:space="preserve">Metrik seçim adımları</w:t>
      </w:r>
    </w:p>
    <w:p>
      <w:pPr>
        <w:pStyle w:val="ListParagraph"/>
        <w:numPr>
          <w:ilvl w:val="0"/>
          <w:numId w:val="4"/>
        </w:numPr>
        <w:spacing w:after="80" w:line="280"/>
      </w:pPr>
      <w:r>
        <w:rPr>
          <w:rFonts w:ascii="Calibri" w:cs="Calibri" w:eastAsia="Calibri" w:hAnsi="Calibri"/>
          <w:sz w:val="22"/>
          <w:szCs w:val="22"/>
        </w:rPr>
        <w:t xml:space="preserve">İşgücü kategorilerini ve maliyet kalemlerini tanımlayın: maaş, ikramiye, yan hak, diğer; dış işgücünün alt kalemleri.</w:t>
      </w:r>
    </w:p>
    <w:p>
      <w:pPr>
        <w:pStyle w:val="ListParagraph"/>
        <w:numPr>
          <w:ilvl w:val="0"/>
          <w:numId w:val="4"/>
        </w:numPr>
        <w:spacing w:after="80" w:line="280"/>
      </w:pPr>
      <w:r>
        <w:rPr>
          <w:rFonts w:ascii="Calibri" w:cs="Calibri" w:eastAsia="Calibri" w:hAnsi="Calibri"/>
          <w:sz w:val="22"/>
          <w:szCs w:val="22"/>
        </w:rPr>
        <w:t xml:space="preserve">Dış işgücü maliyetinin raporlama kapsamını kararlaştırın ve belgeleyin.</w:t>
      </w:r>
    </w:p>
    <w:p>
      <w:pPr>
        <w:pStyle w:val="ListParagraph"/>
        <w:numPr>
          <w:ilvl w:val="0"/>
          <w:numId w:val="4"/>
        </w:numPr>
        <w:spacing w:after="80" w:line="280"/>
      </w:pPr>
      <w:r>
        <w:rPr>
          <w:rFonts w:ascii="Calibri" w:cs="Calibri" w:eastAsia="Calibri" w:hAnsi="Calibri"/>
          <w:sz w:val="22"/>
          <w:szCs w:val="22"/>
        </w:rPr>
        <w:t xml:space="preserve">Ölçüm noktasını sabitleyin ve mali yıl ya da bütçe döngüsüyle hizalayın.</w:t>
      </w:r>
    </w:p>
    <w:p>
      <w:pPr>
        <w:pStyle w:val="ListParagraph"/>
        <w:numPr>
          <w:ilvl w:val="0"/>
          <w:numId w:val="4"/>
        </w:numPr>
        <w:spacing w:after="80" w:line="280"/>
      </w:pPr>
      <w:r>
        <w:rPr>
          <w:rFonts w:ascii="Calibri" w:cs="Calibri" w:eastAsia="Calibri" w:hAnsi="Calibri"/>
          <w:sz w:val="22"/>
          <w:szCs w:val="22"/>
        </w:rPr>
        <w:t xml:space="preserve">Alt toplam ve toplam ilişkisini doğrulayın; para birimini ve ölçeği eşitleyin.</w:t>
      </w:r>
    </w:p>
    <w:p>
      <w:pPr>
        <w:pStyle w:val="ListParagraph"/>
        <w:numPr>
          <w:ilvl w:val="0"/>
          <w:numId w:val="4"/>
        </w:numPr>
        <w:spacing w:after="80" w:line="280"/>
      </w:pPr>
      <w:r>
        <w:rPr>
          <w:rFonts w:ascii="Calibri" w:cs="Calibri" w:eastAsia="Calibri" w:hAnsi="Calibri"/>
          <w:sz w:val="22"/>
          <w:szCs w:val="22"/>
        </w:rPr>
        <w:t xml:space="preserve">Yıllıklandırılmış ölçümü gerçek toplamların yanında raporlayın.</w:t>
      </w:r>
    </w:p>
    <w:p>
      <w:pPr>
        <w:pStyle w:val="ListParagraph"/>
        <w:numPr>
          <w:ilvl w:val="0"/>
          <w:numId w:val="4"/>
        </w:numPr>
        <w:spacing w:after="80" w:line="280"/>
      </w:pPr>
      <w:r>
        <w:rPr>
          <w:rFonts w:ascii="Calibri" w:cs="Calibri" w:eastAsia="Calibri" w:hAnsi="Calibri"/>
          <w:sz w:val="22"/>
          <w:szCs w:val="22"/>
        </w:rPr>
        <w:t xml:space="preserve">Kırılımları seçin: pozisyon, performans düzeyi, kârlılık, bağlılık, kıdem, hareketlilik.</w:t>
      </w:r>
    </w:p>
    <w:p>
      <w:pPr>
        <w:pStyle w:val="ListParagraph"/>
        <w:numPr>
          <w:ilvl w:val="0"/>
          <w:numId w:val="4"/>
        </w:numPr>
        <w:spacing w:after="80" w:line="280"/>
      </w:pPr>
      <w:r>
        <w:rPr>
          <w:rFonts w:ascii="Calibri" w:cs="Calibri" w:eastAsia="Calibri" w:hAnsi="Calibri"/>
          <w:sz w:val="22"/>
          <w:szCs w:val="22"/>
        </w:rPr>
        <w:t xml:space="preserve">Ücret oranı için kategorileri ve oranın yönünü kararlaştırın.</w:t>
      </w:r>
    </w:p>
    <w:p>
      <w:pPr>
        <w:pStyle w:val="ListParagraph"/>
        <w:numPr>
          <w:ilvl w:val="0"/>
          <w:numId w:val="4"/>
        </w:numPr>
        <w:spacing w:after="80" w:line="280"/>
      </w:pPr>
      <w:r>
        <w:rPr>
          <w:rFonts w:ascii="Calibri" w:cs="Calibri" w:eastAsia="Calibri" w:hAnsi="Calibri"/>
          <w:sz w:val="22"/>
          <w:szCs w:val="22"/>
        </w:rPr>
        <w:t xml:space="preserve">Üç ila beş yıllık seriyi kurun; işgücü maliyeti payını (gelire oranı) izleyin.</w:t>
      </w:r>
    </w:p>
    <w:p>
      <w:pPr>
        <w:pStyle w:val="Heading1"/>
        <w:keepNext/>
        <w:pageBreakBefore/>
        <w:spacing w:after="100" w:before="0"/>
      </w:pPr>
      <w:r>
        <w:rPr>
          <w:rFonts w:ascii="Calibri" w:cs="Calibri" w:eastAsia="Calibri" w:hAnsi="Calibri"/>
          <w:b/>
          <w:bCs/>
          <w:color w:val="0B5C8A"/>
          <w:sz w:val="34"/>
          <w:szCs w:val="34"/>
        </w:rPr>
        <w:t xml:space="preserve">Kısım 6’nın Özeti ve El Kitabının Sonu</w:t>
      </w:r>
    </w:p>
    <w:p>
      <w:pPr>
        <w:keepNext/>
        <w:pBdr>
          <w:bottom w:val="single" w:color="0B5C8A" w:sz="8" w:space="6"/>
        </w:pBdr>
        <w:spacing w:after="220"/>
      </w:pPr>
      <w:r>
        <w:rPr>
          <w:rFonts w:ascii="Calibri" w:cs="Calibri" w:eastAsia="Calibri" w:hAnsi="Calibri"/>
          <w:i/>
          <w:iCs/>
          <w:color w:val="59636F"/>
          <w:sz w:val="26"/>
          <w:szCs w:val="26"/>
        </w:rPr>
        <w:t xml:space="preserve">Değer ve bedel birlikte okunduğunda insan sermayesi bir yatırım olarak anlatılabilir.</w:t>
      </w:r>
    </w:p>
    <w:p>
      <w:pPr>
        <w:spacing w:after="140" w:line="288"/>
        <w:jc w:val="left"/>
      </w:pPr>
      <w:r>
        <w:rPr>
          <w:rFonts w:ascii="Calibri" w:cs="Calibri" w:eastAsia="Calibri" w:hAnsi="Calibri"/>
          <w:sz w:val="22"/>
          <w:szCs w:val="22"/>
        </w:rPr>
        <w:t xml:space="preserve">Bu son kısımda iki ISO belgesi, insan kaynakları yönetiminin finansal sonucunu ölçmek için kullanılacak iki göstergeyi birlikte sundu. ISO/TS 30432 üretilen değeri çalışan başına gelir, kâr ve EBIT ile ve işgücü maliyetine oranla (HC RoI) ölçtü; üç kurum türünü (kâr amaçlı, STK, kamu) ayırdı ve paydanın tanımının metrik kadar önemli olduğunu gösterdi. ISO/TS 30427 işgücü maliyetini bileşenlerine ayırdı: toplam istihdam maliyeti, dış işgücü maliyeti, ücret oranı ve bunların toplamı olan toplam işgücü maliyeti.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1500"/>
        <w:gridCol w:w="2438"/>
      </w:tblGrid>
      <w:tr>
        <w:trPr>
          <w:cantSplit/>
          <w:tblHeader/>
        </w:trPr>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Soru</w:t>
            </w:r>
          </w:p>
        </w:tc>
        <w:tc>
          <w:tcPr>
            <w:tcW w:type="dxa" w:w="27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Metrik</w:t>
            </w:r>
          </w:p>
        </w:tc>
        <w:tc>
          <w:tcPr>
            <w:tcW w:type="dxa" w:w="15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Rehber</w:t>
            </w:r>
          </w:p>
        </w:tc>
        <w:tc>
          <w:tcPr>
            <w:tcW w:type="dxa" w:w="2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Kime ve ne için?</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başına ne kadar değer üretiyoruz?</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EBIT, gelir, kâr</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yatırımcı: üretkenlik eğilimi</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İşgücüne harcanan her lira ne kadar getiriyor?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HC RoI</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ve finans: yatırım getirisi</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bize ne kadara mal oluyor?</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Toplam işgücü maliyeti, toplam istihdam maliyeti</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Finans ve İK: bütçe ve kıyaslama</w:t>
            </w:r>
          </w:p>
        </w:tc>
      </w:tr>
      <w:tr>
        <w:trPr>
          <w:cantSplit/>
        </w:trPr>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Dış işgücüne bağımlılığımız ne kadar?</w:t>
            </w:r>
          </w:p>
        </w:tc>
        <w:tc>
          <w:tcPr>
            <w:tcW w:type="dxa" w:w="27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Dış işgücü maliyeti ve payı</w:t>
            </w:r>
          </w:p>
        </w:tc>
        <w:tc>
          <w:tcPr>
            <w:tcW w:type="dxa" w:w="15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w:t>
            </w:r>
          </w:p>
        </w:tc>
        <w:tc>
          <w:tcPr>
            <w:tcW w:type="dxa" w:w="2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Üst yönetim: esneklik ve risk dengesi</w:t>
            </w:r>
          </w:p>
        </w:tc>
      </w:tr>
      <w:tr>
        <w:trPr>
          <w:cantSplit/>
        </w:trPr>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Ücretler adil dağılıyor mu?</w:t>
            </w:r>
          </w:p>
        </w:tc>
        <w:tc>
          <w:tcPr>
            <w:tcW w:type="dxa" w:w="27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Ücret oranı</w:t>
            </w:r>
          </w:p>
        </w:tc>
        <w:tc>
          <w:tcPr>
            <w:tcW w:type="dxa" w:w="15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w:t>
            </w:r>
          </w:p>
        </w:tc>
        <w:tc>
          <w:tcPr>
            <w:tcW w:type="dxa" w:w="2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Kurul ve temsilciler: fırsat eşitliği</w:t>
            </w:r>
          </w:p>
        </w:tc>
      </w:tr>
    </w:tbl>
    <w:p>
      <w:pPr>
        <w:spacing w:after="140"/>
      </w:pPr>
    </w:p>
    <w:p>
      <w:pPr>
        <w:pStyle w:val="Heading3"/>
        <w:keepNext/>
        <w:spacing w:after="80" w:before="220"/>
      </w:pPr>
      <w:r>
        <w:rPr>
          <w:rFonts w:ascii="Calibri" w:cs="Calibri" w:eastAsia="Calibri" w:hAnsi="Calibri"/>
          <w:b/>
          <w:bCs/>
          <w:color w:val="0B5C8A"/>
          <w:sz w:val="23"/>
          <w:szCs w:val="23"/>
        </w:rPr>
        <w:t xml:space="preserve">Bütünleşik görünüm: İnsan sermayesi skor kartı</w:t>
      </w:r>
    </w:p>
    <w:p>
      <w:pPr>
        <w:spacing w:after="140" w:line="288"/>
        <w:jc w:val="left"/>
      </w:pPr>
      <w:r>
        <w:rPr>
          <w:rFonts w:ascii="Calibri" w:cs="Calibri" w:eastAsia="Calibri" w:hAnsi="Calibri"/>
          <w:sz w:val="22"/>
          <w:szCs w:val="22"/>
        </w:rPr>
        <w:t xml:space="preserve">Altı kısmın ölçümlerini yönetim kuruluna tek bir sayfada anlatmak, bu kitabın pratik hedefidir. Aşağıdaki kurgusal skor kartı, her kısımdan en fazla bir ya da iki gösterge seçerek, Anadolu Örnek A.Ş. için bir yıllık resmi özetler. Skor kartının her satırı bir tanıma, bir dönem karşılaştırmasına ve bir bağlam notuna bağlanmalıdır.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300"/>
        <w:gridCol w:w="1300"/>
        <w:gridCol w:w="1438"/>
      </w:tblGrid>
      <w:tr>
        <w:trPr>
          <w:cantSplit/>
          <w:tblHeader/>
        </w:trPr>
        <w:tc>
          <w:tcPr>
            <w:tcW w:type="dxa" w:w="26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Alan</w:t>
            </w:r>
          </w:p>
        </w:tc>
        <w:tc>
          <w:tcPr>
            <w:tcW w:type="dxa" w:w="30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Gösterge</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Önceki yıl</w:t>
            </w:r>
          </w:p>
        </w:tc>
        <w:tc>
          <w:tcPr>
            <w:tcW w:type="dxa" w:w="1300"/>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Cari yıl</w:t>
            </w:r>
          </w:p>
        </w:tc>
        <w:tc>
          <w:tcPr>
            <w:tcW w:type="dxa" w:w="1438"/>
            <w:tcBorders>
              <w:top w:val="single" w:color="BFC8D2" w:sz="4"/>
              <w:left w:val="single" w:color="BFC8D2" w:sz="4"/>
              <w:bottom w:val="single" w:color="BFC8D2" w:sz="4"/>
              <w:right w:val="single" w:color="BFC8D2" w:sz="4"/>
            </w:tcBorders>
            <w:shd w:fill="0B5C8A" w:color="auto" w:val="clear"/>
            <w:tcMar>
              <w:top w:type="dxa" w:w="70"/>
              <w:left w:type="dxa" w:w="100"/>
              <w:bottom w:type="dxa" w:w="70"/>
              <w:right w:type="dxa" w:w="100"/>
            </w:tcMar>
          </w:tcPr>
          <w:p>
            <w:pPr>
              <w:spacing w:after="0" w:line="255"/>
            </w:pPr>
            <w:r>
              <w:rPr>
                <w:rFonts w:ascii="Calibri" w:cs="Calibri" w:eastAsia="Calibri" w:hAnsi="Calibri"/>
                <w:b/>
                <w:bCs/>
                <w:color w:val="FFFFFF"/>
                <w:sz w:val="19"/>
                <w:szCs w:val="19"/>
              </w:rPr>
              <w:t xml:space="preserve">Kaynak</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İşgücü planlaması (Kısım 2)</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Planlanan ile gerçekleşen kadro farkı</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−4,0%</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 30409</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İşe alım (Kısım 3)</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Doldurma süresi (gün)</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52</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47,6</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30430</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Öğrenme (Kısım 4)</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eğitim saati</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15,2</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17,0</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30428</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deneyimi (Kısım 5)</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Yıllık devir</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%14,1</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%12,4</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30421</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Çalışan deneyimi (Kısım 5)</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 kazası (%, ortalama kadro)</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%0,8</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%1,5</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24179</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 (Kısım 6)</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Çalışan başına EBIT (TL)</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80.000</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100.000</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w:t>
            </w:r>
          </w:p>
        </w:tc>
      </w:tr>
      <w:tr>
        <w:trPr>
          <w:cantSplit/>
        </w:trPr>
        <w:tc>
          <w:tcPr>
            <w:tcW w:type="dxa" w:w="26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bCs/>
                <w:sz w:val="19"/>
                <w:szCs w:val="19"/>
              </w:rPr>
              <w:t xml:space="preserve">Verimlilik (Kısım 6)</w:t>
            </w:r>
          </w:p>
        </w:tc>
        <w:tc>
          <w:tcPr>
            <w:tcW w:type="dxa" w:w="30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İnsan sermayesi getirisi</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%22,9</w:t>
            </w:r>
          </w:p>
        </w:tc>
        <w:tc>
          <w:tcPr>
            <w:tcW w:type="dxa" w:w="1300"/>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%25,0</w:t>
            </w:r>
          </w:p>
        </w:tc>
        <w:tc>
          <w:tcPr>
            <w:tcW w:type="dxa" w:w="1438"/>
            <w:tcBorders>
              <w:top w:val="single" w:color="BFC8D2" w:sz="4"/>
              <w:left w:val="single" w:color="BFC8D2" w:sz="4"/>
              <w:bottom w:val="single" w:color="BFC8D2" w:sz="4"/>
              <w:right w:val="single" w:color="BFC8D2" w:sz="4"/>
            </w:tcBorders>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30432</w:t>
            </w:r>
          </w:p>
        </w:tc>
      </w:tr>
      <w:tr>
        <w:trPr>
          <w:cantSplit/>
        </w:trPr>
        <w:tc>
          <w:tcPr>
            <w:tcW w:type="dxa" w:w="26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bCs/>
                <w:sz w:val="19"/>
                <w:szCs w:val="19"/>
              </w:rPr>
              <w:t xml:space="preserve">Maliyet (Kısım 6)</w:t>
            </w:r>
          </w:p>
        </w:tc>
        <w:tc>
          <w:tcPr>
            <w:tcW w:type="dxa" w:w="30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İşgücü maliyeti / gelir</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%48,4</w:t>
            </w:r>
          </w:p>
        </w:tc>
        <w:tc>
          <w:tcPr>
            <w:tcW w:type="dxa" w:w="1300"/>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%50,0</w:t>
            </w:r>
          </w:p>
        </w:tc>
        <w:tc>
          <w:tcPr>
            <w:tcW w:type="dxa" w:w="1438"/>
            <w:tcBorders>
              <w:top w:val="single" w:color="BFC8D2" w:sz="4"/>
              <w:left w:val="single" w:color="BFC8D2" w:sz="4"/>
              <w:bottom w:val="single" w:color="BFC8D2" w:sz="4"/>
              <w:right w:val="single" w:color="BFC8D2" w:sz="4"/>
            </w:tcBorders>
            <w:shd w:fill="F3F6F9" w:color="auto" w:val="clear"/>
            <w:tcMar>
              <w:top w:type="dxa" w:w="70"/>
              <w:left w:type="dxa" w:w="100"/>
              <w:bottom w:type="dxa" w:w="70"/>
              <w:right w:type="dxa" w:w="100"/>
            </w:tcMar>
          </w:tcPr>
          <w:p>
            <w:pPr>
              <w:spacing w:after="0" w:line="255"/>
            </w:pPr>
            <w:r>
              <w:rPr>
                <w:rFonts w:ascii="Calibri" w:cs="Calibri" w:eastAsia="Calibri" w:hAnsi="Calibri"/>
                <w:b w:val="false"/>
                <w:bCs w:val="false"/>
                <w:sz w:val="19"/>
                <w:szCs w:val="19"/>
              </w:rPr>
              <w:t xml:space="preserve">ISO/TS 30427</w:t>
            </w:r>
          </w:p>
        </w:tc>
      </w:tr>
    </w:tbl>
    <w:p>
      <w:pPr>
        <w:spacing w:after="140"/>
      </w:pPr>
    </w:p>
    <w:p>
      <w:pPr>
        <w:spacing w:after="140" w:line="288"/>
        <w:jc w:val="left"/>
      </w:pPr>
      <w:r>
        <w:rPr>
          <w:rFonts w:ascii="Calibri" w:cs="Calibri" w:eastAsia="Calibri" w:hAnsi="Calibri"/>
          <w:sz w:val="22"/>
          <w:szCs w:val="22"/>
        </w:rPr>
        <w:t xml:space="preserve">Skor kartı bir hikâye anlatır: Kurum işe alım hızını ve devri iyileştirmiş, eğitim saatini artırmış ve getiri oranını yükseltmiştir; ama iş kazası oranı artmış ve işgücü maliyeti payı yükselmiştir. İş kazası artışı, Kısım 5.4’te örneklendiği gibi kayıt disiplinindeki bir iyileşmeden de kaynaklanıyor olabilir; bu nedenle ağırlık oranı ve ramak kala bildirimleri aynı sayfaya eklenmelidir. Yükselen işgücü maliyeti payı ise yönetim kurulunun, getiri oranındaki iyileşmenin bu artışı karşılayıp karşılamadığına bakmasını gerektirir. Hiçbir satır tek başına bir yargı vermez; ama sekiz satırın birlikte okunması, yönetim kurulunun hangi sorular için ayrıntılı rapor isteyeceğini belirler.</w:t>
      </w:r>
    </w:p>
    <w:p>
      <w:pPr>
        <w:pStyle w:val="Heading3"/>
        <w:keepNext/>
        <w:spacing w:after="80" w:before="220"/>
      </w:pPr>
      <w:r>
        <w:rPr>
          <w:rFonts w:ascii="Calibri" w:cs="Calibri" w:eastAsia="Calibri" w:hAnsi="Calibri"/>
          <w:b/>
          <w:bCs/>
          <w:color w:val="0B5C8A"/>
          <w:sz w:val="23"/>
          <w:szCs w:val="23"/>
        </w:rPr>
        <w:t xml:space="preserve">Altı kısımdan çıkan ortak ilkeler</w:t>
      </w:r>
    </w:p>
    <w:p>
      <w:pPr>
        <w:spacing w:after="140" w:line="288"/>
        <w:jc w:val="left"/>
      </w:pPr>
      <w:r>
        <w:rPr>
          <w:rFonts w:ascii="Calibri" w:cs="Calibri" w:eastAsia="Calibri" w:hAnsi="Calibri"/>
          <w:sz w:val="22"/>
          <w:szCs w:val="22"/>
        </w:rPr>
        <w:t xml:space="preserve">El kitabının altı kısmı farklı insan kaynakları alanlarını ele aldı; ama hepsinde aynı birkaç ilke tekrar tekrar karşımıza çıktı. Bu ilkeleri sona bırakmak, kitabın pratik bir özeti olarak da görülebilir.</w:t>
      </w:r>
    </w:p>
    <w:p>
      <w:pPr>
        <w:pStyle w:val="ListParagraph"/>
        <w:numPr>
          <w:ilvl w:val="0"/>
          <w:numId w:val="5"/>
        </w:numPr>
        <w:spacing w:after="80" w:line="280"/>
      </w:pPr>
      <w:r>
        <w:rPr>
          <w:rFonts w:ascii="Calibri" w:cs="Calibri" w:eastAsia="Calibri" w:hAnsi="Calibri"/>
          <w:b/>
          <w:bCs/>
          <w:sz w:val="22"/>
          <w:szCs w:val="22"/>
        </w:rPr>
        <w:t xml:space="preserve">Önce tanım, sonra sayı.</w:t>
      </w:r>
      <w:r>
        <w:rPr>
          <w:rFonts w:ascii="Calibri" w:cs="Calibri" w:eastAsia="Calibri" w:hAnsi="Calibri"/>
          <w:sz w:val="22"/>
          <w:szCs w:val="22"/>
        </w:rPr>
        <w:t xml:space="preserve"> “Çalışan”, “işe alım”, “nitelikli”, “katılım”, “devir”, “işgücü maliyeti” gibi terimlerin kurumsal tanımı yazılı olmadıkça hiçbir metrik karşılaştırılamaz. Paydanın tanımı çoğu zaman metriğin kendisinden daha önemlidir.</w:t>
      </w:r>
    </w:p>
    <w:p>
      <w:pPr>
        <w:pStyle w:val="ListParagraph"/>
        <w:numPr>
          <w:ilvl w:val="0"/>
          <w:numId w:val="5"/>
        </w:numPr>
        <w:spacing w:after="80" w:line="280"/>
      </w:pPr>
      <w:r>
        <w:rPr>
          <w:rFonts w:ascii="Calibri" w:cs="Calibri" w:eastAsia="Calibri" w:hAnsi="Calibri"/>
          <w:b/>
          <w:bCs/>
          <w:sz w:val="22"/>
          <w:szCs w:val="22"/>
        </w:rPr>
        <w:t xml:space="preserve">Bağlamsız sayı yoktur.</w:t>
      </w:r>
      <w:r>
        <w:rPr>
          <w:rFonts w:ascii="Calibri" w:cs="Calibri" w:eastAsia="Calibri" w:hAnsi="Calibri"/>
          <w:sz w:val="22"/>
          <w:szCs w:val="22"/>
        </w:rPr>
        <w:t xml:space="preserve"> Her metrik, kadro değişimi, yeniden yapılanma, ekonomik koşullar ve sektör gibi bağlam etkenleriyle birlikte yorumlanmalıdır. Sonuç beklenenden kötü göründüğünde ileri inceleme olumlu göstergeleri de ortaya çıkarabilir.</w:t>
      </w:r>
    </w:p>
    <w:p>
      <w:pPr>
        <w:pStyle w:val="ListParagraph"/>
        <w:numPr>
          <w:ilvl w:val="0"/>
          <w:numId w:val="5"/>
        </w:numPr>
        <w:spacing w:after="80" w:line="280"/>
      </w:pPr>
      <w:r>
        <w:rPr>
          <w:rFonts w:ascii="Calibri" w:cs="Calibri" w:eastAsia="Calibri" w:hAnsi="Calibri"/>
          <w:b/>
          <w:bCs/>
          <w:sz w:val="22"/>
          <w:szCs w:val="22"/>
        </w:rPr>
        <w:t xml:space="preserve">Ortalamanın arkasına bakın.</w:t>
      </w:r>
      <w:r>
        <w:rPr>
          <w:rFonts w:ascii="Calibri" w:cs="Calibri" w:eastAsia="Calibri" w:hAnsi="Calibri"/>
          <w:sz w:val="22"/>
          <w:szCs w:val="22"/>
        </w:rPr>
        <w:t xml:space="preserve"> Genel oran, kırılımlar, dağılım ve mutlak sayılar olmadan eksiktir. Ölümlü kaza yüzdesi değil sayıdır; kontrol alanı ortalaması değil uçlardır; yetkinlik oranı değil dağılımdır.</w:t>
      </w:r>
    </w:p>
    <w:p>
      <w:pPr>
        <w:pStyle w:val="ListParagraph"/>
        <w:numPr>
          <w:ilvl w:val="0"/>
          <w:numId w:val="5"/>
        </w:numPr>
        <w:spacing w:after="80" w:line="280"/>
      </w:pPr>
      <w:r>
        <w:rPr>
          <w:rFonts w:ascii="Calibri" w:cs="Calibri" w:eastAsia="Calibri" w:hAnsi="Calibri"/>
          <w:b/>
          <w:bCs/>
          <w:sz w:val="22"/>
          <w:szCs w:val="22"/>
        </w:rPr>
        <w:t xml:space="preserve">Hızı, maliyeti, kaliteyi ve etkiyi birlikte okuyun.</w:t>
      </w:r>
      <w:r>
        <w:rPr>
          <w:rFonts w:ascii="Calibri" w:cs="Calibri" w:eastAsia="Calibri" w:hAnsi="Calibri"/>
          <w:sz w:val="22"/>
          <w:szCs w:val="22"/>
        </w:rPr>
        <w:t xml:space="preserve"> Tek bir metriği iyileştirmek diğerlerini bozabilir: Kısalan işe alım süresi kaliteyi, düşen kadro devir ve bağlılığı, artan çalışan başına EBIT paydanın küçülmesini gizleyebilir.</w:t>
      </w:r>
    </w:p>
    <w:p>
      <w:pPr>
        <w:pStyle w:val="ListParagraph"/>
        <w:numPr>
          <w:ilvl w:val="0"/>
          <w:numId w:val="5"/>
        </w:numPr>
        <w:spacing w:after="80" w:line="280"/>
      </w:pPr>
      <w:r>
        <w:rPr>
          <w:rFonts w:ascii="Calibri" w:cs="Calibri" w:eastAsia="Calibri" w:hAnsi="Calibri"/>
          <w:b/>
          <w:bCs/>
          <w:sz w:val="22"/>
          <w:szCs w:val="22"/>
        </w:rPr>
        <w:t xml:space="preserve">Çalışan sesi ve mahremiyet birlikte korunur.</w:t>
      </w:r>
      <w:r>
        <w:rPr>
          <w:rFonts w:ascii="Calibri" w:cs="Calibri" w:eastAsia="Calibri" w:hAnsi="Calibri"/>
          <w:sz w:val="22"/>
          <w:szCs w:val="22"/>
        </w:rPr>
        <w:t xml:space="preserve"> Anketler, kırılımlar ve sağlık verileri kişiyi tanınabilir kılacak kadar küçülmemelidir; çalışan temsilcileriyle istişare, ölçümün meşruiyetini artırır.</w:t>
      </w:r>
    </w:p>
    <w:p>
      <w:pPr>
        <w:pStyle w:val="ListParagraph"/>
        <w:numPr>
          <w:ilvl w:val="0"/>
          <w:numId w:val="5"/>
        </w:numPr>
        <w:spacing w:after="80" w:line="280"/>
      </w:pPr>
      <w:r>
        <w:rPr>
          <w:rFonts w:ascii="Calibri" w:cs="Calibri" w:eastAsia="Calibri" w:hAnsi="Calibri"/>
          <w:b/>
          <w:bCs/>
          <w:sz w:val="22"/>
          <w:szCs w:val="22"/>
        </w:rPr>
        <w:t xml:space="preserve">Mükemmeliyet değil, şeffaflık ve iyileştirme.</w:t>
      </w:r>
      <w:r>
        <w:rPr>
          <w:rFonts w:ascii="Calibri" w:cs="Calibri" w:eastAsia="Calibri" w:hAnsi="Calibri"/>
          <w:sz w:val="22"/>
          <w:szCs w:val="22"/>
        </w:rPr>
        <w:t xml:space="preserve"> Standartlar %100 doğru veri beklemez; ama kayıt sistemlerini, tanımları ve sınırlamaları açıkça belgelemeyi bekler.</w:t>
      </w:r>
    </w:p>
    <w:p>
      <w:pPr>
        <w:pStyle w:val="ListParagraph"/>
        <w:numPr>
          <w:ilvl w:val="0"/>
          <w:numId w:val="5"/>
        </w:numPr>
        <w:spacing w:after="80" w:line="280"/>
      </w:pPr>
      <w:r>
        <w:rPr>
          <w:rFonts w:ascii="Calibri" w:cs="Calibri" w:eastAsia="Calibri" w:hAnsi="Calibri"/>
          <w:b/>
          <w:bCs/>
          <w:sz w:val="22"/>
          <w:szCs w:val="22"/>
        </w:rPr>
        <w:t xml:space="preserve">Ölçüm eyleme dönmedikçe değer üretmez.</w:t>
      </w:r>
      <w:r>
        <w:rPr>
          <w:rFonts w:ascii="Calibri" w:cs="Calibri" w:eastAsia="Calibri" w:hAnsi="Calibri"/>
          <w:sz w:val="22"/>
          <w:szCs w:val="22"/>
        </w:rPr>
        <w:t xml:space="preserve"> Her ölçümün yanında bir sonraki karar ve bir geri bildirim planı bulunmalıdır.</w:t>
      </w:r>
    </w:p>
    <w:p>
      <w:pPr>
        <w:spacing w:after="140" w:line="288"/>
        <w:jc w:val="left"/>
      </w:pPr>
      <w:r>
        <w:rPr>
          <w:rFonts w:ascii="Calibri" w:cs="Calibri" w:eastAsia="Calibri" w:hAnsi="Calibri"/>
          <w:sz w:val="22"/>
          <w:szCs w:val="22"/>
        </w:rPr>
        <w:t xml:space="preserve">Bu ilkelerin tamamı Kısım 1’de kurulan çerçeveye geri döner: ISO 30414’ün insan sermayesi raporlaması, ISO 30408’in insan yönetişimi ve güvenilir veri anlayışı. Kısım 2–6’daki her rehber, bu çerçevenin bir alanını ayrıntılandırır; Ek A, kendi sorunuzdan metriğe nasıl gideceğinizi gösterir; Ek B tüm formülleri ortak gösterimle toplar; Ek C’deki Python örnekleri kendi verinizle hesap yapmanızı sağlar; Ek D terimler sözlüğüdür; Ek E iç ve dış raporlama şablonlarını, Ek F ise kaynakçayı sunar.</w:t>
      </w:r>
    </w:p>
    <w:p>
      <w:pPr>
        <w:spacing w:after="140" w:line="288"/>
        <w:jc w:val="left"/>
      </w:pPr>
      <w:r>
        <w:rPr>
          <w:rFonts w:ascii="Calibri" w:cs="Calibri" w:eastAsia="Calibri" w:hAnsi="Calibri"/>
          <w:sz w:val="22"/>
          <w:szCs w:val="22"/>
        </w:rPr>
        <w:t xml:space="preserve">Bütünleşik görünümün pratik bir kuralı daha vardır: Skor kartında yer alan her gösterge için bir sahip, bir hedef ve bir eşik belirlenmelidir. Sahibi olmayan bir gösterge, kimsenin sorumluluğunda olmadığı için iyileşmez; hedefi olmayan bir gösterge, iyi ya da kötü diye yorumlanamaz; eşiği olmayan bir gösterge ise yalnızca bilgi verir, uyarı vermez. Standartlar eşik koymadığından, bu eşikleri kurumun kendi geçmiş verisi, sektör kıyaslaması ve stratejik hedefleriyle belirlemek İK ve finansın ortak görevidir. Eşikler yılda bir kez, bütçe döngüsüyle birlikte gözden geçirilmelidir.</w:t>
      </w:r>
    </w:p>
    <w:p>
      <w:pPr>
        <w:pStyle w:val="Heading3"/>
        <w:keepNext/>
        <w:spacing w:after="80" w:before="220"/>
      </w:pPr>
      <w:r>
        <w:rPr>
          <w:rFonts w:ascii="Calibri" w:cs="Calibri" w:eastAsia="Calibri" w:hAnsi="Calibri"/>
          <w:b/>
          <w:bCs/>
          <w:color w:val="0B5C8A"/>
          <w:sz w:val="23"/>
          <w:szCs w:val="23"/>
        </w:rPr>
        <w:t xml:space="preserve">Başlangıç için önerilen yol haritası</w:t>
      </w:r>
    </w:p>
    <w:p>
      <w:pPr>
        <w:spacing w:after="140" w:line="288"/>
        <w:jc w:val="left"/>
      </w:pPr>
      <w:r>
        <w:rPr>
          <w:rFonts w:ascii="Calibri" w:cs="Calibri" w:eastAsia="Calibri" w:hAnsi="Calibri"/>
          <w:sz w:val="22"/>
          <w:szCs w:val="22"/>
        </w:rPr>
        <w:t xml:space="preserve">İşgücü verimliliği ve maliyet ölçümüne yeni başlayan bir kurum için gerçekçi bir sıra şudur. İlk üç ayda işgücü maliyetinin bileşenlerini (maaş, ikramiye, yan hak, dış işgücü) finans sistemlerinden çıkarıp tek bir tabloda toplayın; toplamı doğrulayın ve paydanın tanımını (çalışan, TZE, geçici işgücü) yazın (6.2). Sonraki üç ayda çalışan başına gelir ve EBIT ile işgücü maliyetinin gelire oranını hesaplayın (6.1 ve 6.2). Altıncı aydan itibaren insan sermayesi getirisini üç ila beş yıllık geçmiş veriyle yeniden üretip eğilimi kurun (6.1). Yılın ikinci yarısında dış işgücü maliyetini ve ücret oranını kırılımlarla izlemeye başlayın. Bir yıl sonra, bu göstergeleri önceki kısımların metrikleriyle (devir, işe alım maliyeti, öğrenme yatırımı) tek bir yönetim kurulu raporunda birleştirin.</w:t>
      </w:r>
    </w:p>
    <w:p>
      <w:pPr>
        <w:pStyle w:val="Heading3"/>
        <w:keepNext/>
        <w:spacing w:after="80" w:before="220"/>
      </w:pPr>
      <w:r>
        <w:rPr>
          <w:rFonts w:ascii="Calibri" w:cs="Calibri" w:eastAsia="Calibri" w:hAnsi="Calibri"/>
          <w:b/>
          <w:bCs/>
          <w:color w:val="0B5C8A"/>
          <w:sz w:val="23"/>
          <w:szCs w:val="23"/>
        </w:rPr>
        <w:t xml:space="preserve">Son söz</w:t>
      </w:r>
    </w:p>
    <w:p>
      <w:pPr>
        <w:spacing w:after="140" w:line="288"/>
        <w:jc w:val="left"/>
      </w:pPr>
      <w:r>
        <w:rPr>
          <w:rFonts w:ascii="Calibri" w:cs="Calibri" w:eastAsia="Calibri" w:hAnsi="Calibri"/>
          <w:sz w:val="22"/>
          <w:szCs w:val="22"/>
        </w:rPr>
        <w:t xml:space="preserve">İnsan kaynakları metrikleri, insanları sayılara indirgemek için değil, insanlara yapılan yatırımın kurum için ne anlama geldiğini açıkça anlatabilmek için vardır. Standartların bize öğrettiği en önemli şey, ölçmenin bir amaç değil bir araç olduğu, her sayının bir tanıma, bir bağlama ve bir eyleme bağlanması gerektiğidir. İyi ölçülmüş bir işgücü, iyi yönetilen bir işgücünün ön koşuludur; ama iyi yönetim, sayıların ötesinde, o sayıların arkasındaki insanlara bakmayı gerektirir.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95A1"/>
        <w:sz w:val="16"/>
        <w:szCs w:val="16"/>
      </w:rPr>
      <w:t xml:space="preserve">Sayfa </w:t>
    </w:r>
    <w:r>
      <w:rPr>
        <w:rFonts w:ascii="Calibri" w:cs="Calibri" w:eastAsia="Calibri" w:hAnsi="Calibri"/>
        <w:color w:val="8B95A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95A1"/>
        <w:sz w:val="16"/>
        <w:szCs w:val="16"/>
      </w:rPr>
      <w:t xml:space="preserve">İK Profesyonelleri için Metrik El Kitabı · Kısım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Calibri" w:cs="Calibri" w:eastAsia="Calibri" w:hAnsi="Calibri"/>
      <w:b/>
      <w:bCs/>
      <w:sz w:val="48"/>
      <w:szCs w:val="48"/>
    </w:rPr>
  </w:style>
  <w:style w:type="paragraph" w:styleId="Heading1">
    <w:name w:val="Heading 1"/>
    <w:basedOn w:val="Normal"/>
    <w:next w:val="Normal"/>
    <w:qFormat/>
    <w:pPr>
      <w:spacing w:after="100" w:before="0"/>
      <w:outlineLvl w:val="0"/>
    </w:pPr>
    <w:rPr>
      <w:rFonts w:ascii="Calibri" w:cs="Calibri" w:eastAsia="Calibri" w:hAnsi="Calibri"/>
      <w:b/>
      <w:bCs/>
      <w:color w:val="0B5C8A"/>
      <w:sz w:val="34"/>
      <w:szCs w:val="34"/>
    </w:rPr>
  </w:style>
  <w:style w:type="paragraph" w:styleId="Heading2">
    <w:name w:val="Heading 2"/>
    <w:basedOn w:val="Normal"/>
    <w:next w:val="Normal"/>
    <w:qFormat/>
    <w:pPr>
      <w:spacing w:after="110" w:before="320"/>
      <w:outlineLvl w:val="1"/>
    </w:pPr>
    <w:rPr>
      <w:rFonts w:ascii="Calibri" w:cs="Calibri" w:eastAsia="Calibri" w:hAnsi="Calibri"/>
      <w:b/>
      <w:bCs/>
      <w:sz w:val="27"/>
      <w:szCs w:val="27"/>
    </w:rPr>
  </w:style>
  <w:style w:type="paragraph" w:styleId="Heading3">
    <w:name w:val="Heading 3"/>
    <w:basedOn w:val="Normal"/>
    <w:next w:val="Normal"/>
    <w:qFormat/>
    <w:pPr>
      <w:spacing w:after="80" w:before="220"/>
      <w:outlineLvl w:val="2"/>
    </w:pPr>
    <w:rPr>
      <w:rFonts w:ascii="Calibri" w:cs="Calibri" w:eastAsia="Calibri" w:hAnsi="Calibri"/>
      <w:b/>
      <w:bCs/>
      <w:color w:val="0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2026-10-13T10:57:03.102Z</dcterms:created>
  <dcterms:modified xsi:type="dcterms:W3CDTF">2026-10-13T10:57:03.102Z</dcterms:modified>
</cp:coreProperties>
</file>

<file path=docProps/custom.xml><?xml version="1.0" encoding="utf-8"?>
<Properties xmlns="http://schemas.openxmlformats.org/officeDocument/2006/custom-properties" xmlns:vt="http://schemas.openxmlformats.org/officeDocument/2006/docPropsVTypes"/>
</file>