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5C8A"/>
          <w:sz w:val="22"/>
          <w:szCs w:val="22"/>
        </w:rPr>
        <w:t xml:space="preserve">KISIM 5</w:t>
      </w:r>
    </w:p>
    <w:p>
      <w:pPr>
        <w:pStyle w:val="Title"/>
        <w:spacing w:after="200"/>
      </w:pPr>
      <w:r>
        <w:rPr>
          <w:rFonts w:ascii="Calibri" w:cs="Calibri" w:eastAsia="Calibri" w:hAnsi="Calibri"/>
          <w:b/>
          <w:bCs/>
          <w:sz w:val="48"/>
          <w:szCs w:val="48"/>
        </w:rPr>
        <w:t xml:space="preserve">Çalışan Deneyimi: Bağlılık, Kültür, Çeşitlilik ve Sağlık</w:t>
      </w:r>
    </w:p>
    <w:p>
      <w:pPr>
        <w:keepNext/>
        <w:pBdr>
          <w:bottom w:val="single" w:color="0B5C8A" w:sz="8" w:space="6"/>
        </w:pBdr>
        <w:spacing w:after="220"/>
      </w:pPr>
      <w:r>
        <w:rPr>
          <w:rFonts w:ascii="Calibri" w:cs="Calibri" w:eastAsia="Calibri" w:hAnsi="Calibri"/>
          <w:i/>
          <w:iCs/>
          <w:color w:val="59636F"/>
          <w:sz w:val="26"/>
          <w:szCs w:val="26"/>
        </w:rPr>
        <w:t xml:space="preserve">Çalışanların işte kalma, bağlanma ve iyi olma durumunu ölçmek.</w:t>
      </w:r>
    </w:p>
    <w:p>
      <w:pPr>
        <w:spacing w:after="140" w:line="288"/>
        <w:jc w:val="left"/>
      </w:pPr>
      <w:r>
        <w:rPr>
          <w:rFonts w:ascii="Calibri" w:cs="Calibri" w:eastAsia="Calibri" w:hAnsi="Calibri"/>
          <w:sz w:val="22"/>
          <w:szCs w:val="22"/>
        </w:rPr>
        <w:t xml:space="preserve">Kısım 3 çalışanın kuruma nasıl girdiğini, Kısım 4 ise orada nasıl geliştiğini anlattı. Bu kısım, üçüncü ve belki de en kırılgan soruyu ele alır: Çalışan kurumda nasıl bir deneyim yaşıyor ve bu deneyim onu kurumda tutuyor mu? Bir kurum, en iyi adayları işe alıp en iyi eğitimleri verebilir; ama çalışan kendini değerli ve güvende hissetmiyorsa, kendini kurumun amacına ve değerlerine yakın bulmuyorsa ya da işte sağlığını yitiriyorsa, yapılan her yatırım ayrılma kararının kapısında erir.</w:t>
      </w:r>
    </w:p>
    <w:p>
      <w:pPr>
        <w:spacing w:after="140" w:line="288"/>
        <w:jc w:val="left"/>
      </w:pPr>
      <w:r>
        <w:rPr>
          <w:rFonts w:ascii="Calibri" w:cs="Calibri" w:eastAsia="Calibri" w:hAnsi="Calibri"/>
          <w:sz w:val="22"/>
          <w:szCs w:val="22"/>
        </w:rPr>
        <w:t xml:space="preserve">Çalışan deneyimi, diğer insan kaynakları alanlarından önemli bir bakımdan ayrılır: Sonucun büyük bölümü kurumun kontrol ettiği süreçlerden değil, çalışanın o süreçleri nasıl algıladığından doğar. Bir izin politikası kâğıt üzerinde cömert olabilir; ama yöneticisi izin kullanana kötü davranıyorsa çalışan bunu politikanın değil, kurumun kültürü olarak yaşar. Bu nedenle bu kısımdaki rehberlerin çoğu algıyı ölçer: anketler, odak grupları, çıkış görüşmeleri. Bir istisna iş sağlığı ve güvenliğidir; orada ölçülen şey, kayda geçen kazalar ve kaybolan zamandır. Ancak orada da sayıların anlamı, çalışanların olayları bildirmeye cesaret edip etmediğine bağlıdır.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3000"/>
        <w:gridCol w:w="2538"/>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Bölüm</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Temel soru</w:t>
            </w:r>
          </w:p>
        </w:tc>
        <w:tc>
          <w:tcPr>
            <w:tcW w:type="dxa" w:w="2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Ana çıktı</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5.1  Çalışan Bağlılığı Rehberi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23326</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Çalışanların bağlanmasını nasıl destekler ve izleriz?</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Beş koşul, üç boyut, 67 rehber ifadesi, öz değerlendirme</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5.2  Örgüt Kültürü Metrikleri Kümesi</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24178</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Kültürümüz beyan ettiğimiz gibi mi yaşanıyor?</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Bağlılık endeksi, 25 ifadelik temel anket, tutma oranı analitiği</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5.3  Çeşitlilik ve Kapsayıcılık</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30415</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Herkes için adil ve kapsayıcı bir işyeri miyiz?</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Ön koşullar, 177 eylem, 83 ölçü örneği, öz değerlendirme</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5.4  İş Sağlığı ve Güvenliği Metrikleri</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24179</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İnsanlar işte güvende ve sağlıklı mı?</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Kayıp zaman, iş kazası, ölümlü kaza, eğitim katılımı</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5.5  İşgücü Devri ve Elde Tutma Metrikleri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30421</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İnsanlar kalıyor mu, kimler gidiyor, bedeli ne?</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Devir, elde tutma, istikrar oranı, devir maliyeti</w:t>
            </w:r>
          </w:p>
        </w:tc>
      </w:tr>
    </w:tbl>
    <w:p>
      <w:pPr>
        <w:spacing w:after="140"/>
      </w:pPr>
    </w:p>
    <w:p>
      <w:pPr>
        <w:pStyle w:val="Heading3"/>
        <w:keepNext/>
        <w:spacing w:after="80" w:before="220"/>
      </w:pPr>
      <w:r>
        <w:rPr>
          <w:rFonts w:ascii="Calibri" w:cs="Calibri" w:eastAsia="Calibri" w:hAnsi="Calibri"/>
          <w:b/>
          <w:bCs/>
          <w:color w:val="0B5C8A"/>
          <w:sz w:val="23"/>
          <w:szCs w:val="23"/>
        </w:rPr>
        <w:t xml:space="preserve">Girdiden sonuca: koşullar, deneyim, davranış</w:t>
      </w:r>
    </w:p>
    <w:p>
      <w:pPr>
        <w:spacing w:after="140" w:line="288"/>
        <w:jc w:val="left"/>
      </w:pPr>
      <w:r>
        <w:rPr>
          <w:rFonts w:ascii="Calibri" w:cs="Calibri" w:eastAsia="Calibri" w:hAnsi="Calibri"/>
          <w:sz w:val="22"/>
          <w:szCs w:val="22"/>
        </w:rPr>
        <w:t xml:space="preserve">Beş bölüm bir zincirin farklı halkalarıdır. ISO 23326 ve ISO 30415, çalışanın deneyimini şekillendiren koşulları tarif eder: kültür, liderlik, öğrenme, iş tasarımı, ücret ve takdir, kapsayıcılık. ISO/TS 24178 ise kültürün çalışanlarca nasıl algılandığını ölçer. ISO/TS 24179, iş sağlığı ve güvenliğiyle çalışanın fiziksel güvenliğini izler. ISO/TS 30421 ise zincirin sonunda en görünür davranışı, yani çalışanın kalıp kalmadığını sayar. Zincirin sonundaki sayı en kolay ölçülen, başlangıcındaki koşullar ise en zor değiştirilendir; bu nedenle devir oranı tek başına bir hedef değil, öncü göstergelerin uyarı verdiği bir sonuçtur.</w:t>
      </w:r>
    </w:p>
    <w:p>
      <w:pPr>
        <w:spacing w:after="140" w:line="288"/>
        <w:jc w:val="left"/>
      </w:pPr>
      <w:r>
        <w:rPr>
          <w:rFonts w:ascii="Calibri" w:cs="Calibri" w:eastAsia="Calibri" w:hAnsi="Calibri"/>
          <w:sz w:val="22"/>
          <w:szCs w:val="22"/>
        </w:rPr>
        <w:t xml:space="preserve">Önceki kısımlarla bağ da açıktır. Kısım 2’deki işgücü planlaması ve yedekleme, devrin planlanan mı plansız mı olduğunu belirler. Kısım 3’teki işe alım maliyeti, her ayrılışın yerine koyma bedelini oluşturur. Kısım 4’teki liderlik güveni ve öğrenme yatırımı, bu kısımdaki bağlılık ve kültür ölçümlerinin kardeşleridir; çoğu kurumda aynı anket bu alanların hepsine girdi sağlar.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Bu kısımdaki örnekler hakkında</w:t>
            </w:r>
          </w:p>
          <w:p>
            <w:pPr>
              <w:spacing w:after="0" w:line="276"/>
            </w:pPr>
            <w:r>
              <w:rPr>
                <w:rFonts w:ascii="Calibri" w:cs="Calibri" w:eastAsia="Calibri" w:hAnsi="Calibri"/>
                <w:sz w:val="21"/>
                <w:szCs w:val="21"/>
              </w:rPr>
              <w:t xml:space="preserve">Şirket adı (Anadolu Örnek A.Ş.), anket sonuçları, tutarlar ve vakalar eğitim amaçlı kurgudur; gerçek bir kuruma ait değildir. Standartların kendi örneklerinden alınan sayılar (ör. 0–100 bağlılık endeksi tablosu, 25 ifadelik anket puanlaması) ayrıca belirtilmiştir. Standartların bazılarında formül yoktur; rehber sayfalarındaki formüller “türetilmiş” olarak işaretlenmiştir ve bu kitapta da aynı ayrım korunmuştur.</w:t>
            </w:r>
          </w:p>
        </w:tc>
      </w:tr>
    </w:tbl>
    <w:p>
      <w:pPr>
        <w:spacing w:after="120"/>
      </w:pPr>
    </w:p>
    <w:p>
      <w:pPr>
        <w:pStyle w:val="Heading1"/>
        <w:keepNext/>
        <w:pageBreakBefore/>
        <w:spacing w:after="100" w:before="0"/>
      </w:pPr>
      <w:r>
        <w:rPr>
          <w:rFonts w:ascii="Calibri" w:cs="Calibri" w:eastAsia="Calibri" w:hAnsi="Calibri"/>
          <w:b/>
          <w:bCs/>
          <w:color w:val="0B5C8A"/>
          <w:sz w:val="34"/>
          <w:szCs w:val="34"/>
        </w:rPr>
        <w:t xml:space="preserve">5.1  Çalışan Bağlılığı Rehberi</w:t>
      </w:r>
    </w:p>
    <w:p>
      <w:pPr>
        <w:keepNext/>
        <w:pBdr>
          <w:bottom w:val="single" w:color="0B5C8A" w:sz="8" w:space="6"/>
        </w:pBdr>
        <w:spacing w:after="220"/>
      </w:pPr>
      <w:r>
        <w:rPr>
          <w:rFonts w:ascii="Calibri" w:cs="Calibri" w:eastAsia="Calibri" w:hAnsi="Calibri"/>
          <w:i/>
          <w:iCs/>
          <w:color w:val="59636F"/>
          <w:sz w:val="26"/>
          <w:szCs w:val="26"/>
        </w:rPr>
        <w:t xml:space="preserve">ISO 23326:2022 — Çalışan bağlılığını desteklemek için politika, süreç ve uygulamalara rehberlik.</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 23326, çalışan bağlılığının (employee engagement) desteklenmesi için politika, süreç ve uygulamalara rehberlik eden ilk uluslararası standarttır; ISO/TC 260 tarafından 2022’de yayımlanmıştır. Standart bağlılığı tek bir tanıma bağlamaz. Çalışanın iyiliğine, kurumun iyiliğine ve istihdam ilişkisindeki karşılıklı kazanıma odaklanır; iş tatmini, kuruma bağlılık ve rol dışı davranış (isteğe bağlı çaba) gibi mevcut İK kavramlarının bir karışımı olarak görür. Bu çift odak, bağlılığın yalnızca kurumun çıkarı için çalışanı “sıkıştırma” aracı olmadığını, çalışanın deneyimini iyileştirmeyi de amaçladığını vurgular.</w:t>
      </w:r>
    </w:p>
    <w:p>
      <w:pPr>
        <w:spacing w:after="140" w:line="288"/>
        <w:jc w:val="left"/>
      </w:pPr>
      <w:r>
        <w:rPr>
          <w:rFonts w:ascii="Calibri" w:cs="Calibri" w:eastAsia="Calibri" w:hAnsi="Calibri"/>
          <w:sz w:val="22"/>
          <w:szCs w:val="22"/>
        </w:rPr>
        <w:t xml:space="preserve">Standardın bir bağlılık tanımı, 4.2 maddesinde, kapsayıcı işyeri yaklaşımından doğan durum olarak verilir: Kurumdaki herkesin yapıcı bir sesi vardır ve kendi için anlamlı biçimde üretken katkı verir. Bu, kurumun kapsayıcı ve destekleyici bir ortam sunduğu, bireylerin ise isteğe bağlı çabayla karşılık verdiği iki yönlü bir süreçtir. “İki yönlü” ifadesi önemlidir; çünkü bağlılık yalnızca çalışanın tutumu değil, kurumun yaptıklarına verilen karşılıktır.</w:t>
      </w:r>
    </w:p>
    <w:p>
      <w:pPr>
        <w:spacing w:after="140" w:line="288"/>
        <w:jc w:val="left"/>
      </w:pPr>
      <w:r>
        <w:rPr>
          <w:rFonts w:ascii="Calibri" w:cs="Calibri" w:eastAsia="Calibri" w:hAnsi="Calibri"/>
          <w:sz w:val="22"/>
          <w:szCs w:val="22"/>
        </w:rPr>
        <w:t xml:space="preserve">Belge bir rehberdir. Formül, ölçek ya da eşik içermez; ek yoktur ve normatif atıf yoktur. Ölçüm yalnızca yöntem olarak sayılır: odak grupları, çalışan anketleri ve geçerli araçlar. Bir yönetim sistemi şartnamesi değildir, sertifikalandırma için kullanılamaz ve uygunluk sınaması içermez. Ölçüm araçları, anket soruları, puanlama ve eşikler standardın dışında kalır. Bu sınır, bu bölümün geri kalanında da önemlidir: Burada verilen sayısal hesaplar standarda değil, rehber sayfasının türetmesine aittir.</w:t>
      </w:r>
    </w:p>
    <w:p>
      <w:pPr>
        <w:pStyle w:val="Heading2"/>
        <w:keepNext/>
        <w:spacing w:after="110" w:before="320"/>
      </w:pPr>
      <w:r>
        <w:rPr>
          <w:rFonts w:ascii="Calibri" w:cs="Calibri" w:eastAsia="Calibri" w:hAnsi="Calibri"/>
          <w:b/>
          <w:bCs/>
          <w:sz w:val="27"/>
          <w:szCs w:val="27"/>
        </w:rPr>
        <w:t xml:space="preserve">Beş koşul, bir durum, beş çıktı</w:t>
      </w:r>
    </w:p>
    <w:p>
      <w:pPr>
        <w:spacing w:after="140" w:line="288"/>
        <w:jc w:val="left"/>
      </w:pPr>
      <w:r>
        <w:rPr>
          <w:rFonts w:ascii="Calibri" w:cs="Calibri" w:eastAsia="Calibri" w:hAnsi="Calibri"/>
          <w:sz w:val="22"/>
          <w:szCs w:val="22"/>
        </w:rPr>
        <w:t xml:space="preserve">Standardın merkezî şeması (Şekil 1), kurumun değiştirebileceği beş koşulu işe bağlılıkla ve olası çıktılarla ilişkilendirir. Koşullar sırasıyla örgüt kültürü ve iletişim, destekleyici liderlik, örgütsel öğrenme, iş içeriği ve iş tasarımı, ücret ve takdirdir. Bağlılık durumu üç boyutla tanımlanır. Olası çıktılar ise bireysel iş tatmini ve iş kalitesi, kurumsal performans ve sürdürülebilirlik, daha iyi elde tutma, daha iyi müşteri hizmeti ve daha yüksek üretkenliktir. Standart bu çıktıları “olabilir” kipiyle anar; nedensellik kanıtı ya da etki büyüklüğü vermez.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738"/>
      </w:tblGrid>
      <w:tr>
        <w:trPr>
          <w:cantSplit/>
          <w:tblHeader/>
        </w:trPr>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Koşul</w:t>
            </w:r>
          </w:p>
        </w:tc>
        <w:tc>
          <w:tcPr>
            <w:tcW w:type="dxa" w:w="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5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Odak</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Örgüt kültürü ve iletişim</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5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Değerlerin çalışanlarla birlikte geliştirilmesi, iki yönlü iletişim, güçlendirme, çalışan temsili</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Destekleyici liderlik</w:t>
            </w:r>
          </w:p>
        </w:tc>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c>
          <w:tcPr>
            <w:tcW w:type="dxa" w:w="5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yönetici sorumluluğu, politika, kaynaklar, lider gelişimi, açık diyalog</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Örgütsel öğrenme</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w:t>
            </w:r>
          </w:p>
        </w:tc>
        <w:tc>
          <w:tcPr>
            <w:tcW w:type="dxa" w:w="5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başlama programı, ihtiyaç analizi, bütçe, kapsayıcı öğrenme, değerlendirme</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 içeriği ve iş tasarımı</w:t>
            </w:r>
          </w:p>
        </w:tc>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w:t>
            </w:r>
          </w:p>
        </w:tc>
        <w:tc>
          <w:tcPr>
            <w:tcW w:type="dxa" w:w="5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Role uygun bilgi ve beceri, iş şekillendirme, çalışma ortamı, sağlığı geliştirme, iş–yaşam dengesi</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Ücret ve takdir</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w:t>
            </w:r>
          </w:p>
        </w:tc>
        <w:tc>
          <w:tcPr>
            <w:tcW w:type="dxa" w:w="5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Adil ve şeffaf dışsal ücret, içsel takdir, meslektaş adaylama</w:t>
            </w:r>
          </w:p>
        </w:tc>
      </w:tr>
    </w:tbl>
    <w:p>
      <w:pPr>
        <w:spacing w:after="140"/>
      </w:pPr>
    </w:p>
    <w:p>
      <w:pPr>
        <w:spacing w:after="140" w:line="288"/>
        <w:jc w:val="left"/>
      </w:pPr>
      <w:r>
        <w:rPr>
          <w:rFonts w:ascii="Calibri" w:cs="Calibri" w:eastAsia="Calibri" w:hAnsi="Calibri"/>
          <w:sz w:val="22"/>
          <w:szCs w:val="22"/>
        </w:rPr>
        <w:t xml:space="preserve">Bu tablo, bağlılığı “ölçmek” yerine “desteklemek” ile ilgili bir anlayış getirir. Çalışan bağlılığı anketi bir sonuç ölçer; koşullar ise kurumun doğrudan yönetebildiği girdilerdir. Rehberin 67 ifadesi (altı ila yedi başlık altında “kurumlar şunu yapmalı” biçiminde) bu girdileri düzenler. Madde başına ifade sayıları arasında örneğin örgütsel öğrenme (9 ifade), çalışma ortamı (8), liderlik (7), güçlendirme (7) ve sağlığı geliştirme (7) öne çıkar.</w:t>
      </w:r>
    </w:p>
    <w:p>
      <w:pPr>
        <w:pStyle w:val="Heading2"/>
        <w:keepNext/>
        <w:spacing w:after="110" w:before="320"/>
      </w:pPr>
      <w:r>
        <w:rPr>
          <w:rFonts w:ascii="Calibri" w:cs="Calibri" w:eastAsia="Calibri" w:hAnsi="Calibri"/>
          <w:b/>
          <w:bCs/>
          <w:sz w:val="27"/>
          <w:szCs w:val="27"/>
        </w:rPr>
        <w:t xml:space="preserve">Üç boyut ve ölçüm yaklaşımı</w:t>
      </w:r>
    </w:p>
    <w:p>
      <w:pPr>
        <w:spacing w:after="140" w:line="288"/>
        <w:jc w:val="left"/>
      </w:pPr>
      <w:r>
        <w:rPr>
          <w:rFonts w:ascii="Calibri" w:cs="Calibri" w:eastAsia="Calibri" w:hAnsi="Calibri"/>
          <w:sz w:val="22"/>
          <w:szCs w:val="22"/>
        </w:rPr>
        <w:t xml:space="preserve">Standart, bağlılığı bireysel düzeyde Schaufeli ve arkadaşlarının çalışmasına dayanan üç boyutla anlatır (madde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38"/>
      </w:tblGrid>
      <w:tr>
        <w:trPr>
          <w:cantSplit/>
          <w:tblHeader/>
        </w:trPr>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Boyut</w:t>
            </w:r>
          </w:p>
        </w:tc>
        <w:tc>
          <w:tcPr>
            <w:tcW w:type="dxa" w:w="4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Standarttaki anlamı</w:t>
            </w:r>
          </w:p>
        </w:tc>
        <w:tc>
          <w:tcPr>
            <w:tcW w:type="dxa" w:w="30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Örnek ifade</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Dinçlik (vigour)</w:t>
            </w:r>
          </w:p>
        </w:tc>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Çalışırken yüksek enerji ve dayanıklılık; rolde çaba gösterme isteği</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“İşimde kendimi enerjik hissediyorum.”</w:t>
            </w:r>
          </w:p>
        </w:tc>
      </w:tr>
      <w:tr>
        <w:trPr>
          <w:cantSplit/>
        </w:trPr>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Adanmışlık (dedication)</w:t>
            </w:r>
          </w:p>
        </w:tc>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güçlü katılım; işi gurur ve meydan okuma kaynağı olarak deneyimleme</w:t>
            </w:r>
          </w:p>
        </w:tc>
        <w:tc>
          <w:tcPr>
            <w:tcW w:type="dxa" w:w="3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“İşimle gurur duyuyorum.”</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Yoğunlaşma (absorption)</w:t>
            </w:r>
          </w:p>
        </w:tc>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tam konsantre olma ve işe dalma</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“Çalışırken zamanın nasıl geçtiğini fark etmem.”</w:t>
            </w:r>
          </w:p>
        </w:tc>
      </w:tr>
    </w:tbl>
    <w:p>
      <w:pPr>
        <w:spacing w:after="140"/>
      </w:pPr>
    </w:p>
    <w:p>
      <w:pPr>
        <w:spacing w:after="140" w:line="288"/>
        <w:jc w:val="left"/>
      </w:pPr>
      <w:r>
        <w:rPr>
          <w:rFonts w:ascii="Calibri" w:cs="Calibri" w:eastAsia="Calibri" w:hAnsi="Calibri"/>
          <w:sz w:val="22"/>
          <w:szCs w:val="22"/>
        </w:rPr>
        <w:t xml:space="preserve">Standart üç ölçüm yöntemi sayar: derinlemesine anlayış için odak grupları, iç geliştirilmiş ya da üçüncü taraf çalışan anketleri ve geçerli araçlar (Utrecht İşe Bağlılık Ölçeği, UWES gibi). Hepsinde anonimlik ve gizlilik bireysel düzeyde korunmalı, veri koruma mevzuatına uyulmalıdır. Standart hiçbir puan, eşik ya da gösterge belirlemez.</w:t>
      </w:r>
    </w:p>
    <w:p>
      <w:pPr>
        <w:pStyle w:val="Heading3"/>
        <w:keepNext/>
        <w:spacing w:after="80" w:before="220"/>
      </w:pPr>
      <w:r>
        <w:rPr>
          <w:rFonts w:ascii="Calibri" w:cs="Calibri" w:eastAsia="Calibri" w:hAnsi="Calibri"/>
          <w:b/>
          <w:bCs/>
          <w:color w:val="0B5C8A"/>
          <w:sz w:val="23"/>
          <w:szCs w:val="23"/>
        </w:rPr>
        <w:t xml:space="preserve">Kurgusal örnek: UWES benzeri puan ve katılım</w:t>
      </w:r>
    </w:p>
    <w:p>
      <w:pPr>
        <w:spacing w:after="140" w:line="288"/>
        <w:jc w:val="left"/>
      </w:pPr>
      <w:r>
        <w:rPr>
          <w:rFonts w:ascii="Calibri" w:cs="Calibri" w:eastAsia="Calibri" w:hAnsi="Calibri"/>
          <w:sz w:val="22"/>
          <w:szCs w:val="22"/>
        </w:rPr>
        <w:t xml:space="preserve">Rehber sayfası, 0–6 ölçekli ve boyut başına üç maddelik UWES kısa formu düzenini türetilmiş bir hesap olarak sunar. Anadolu Örnek A.Ş. kurgusal şirketi, 1.200 çalışanına anket göndermiş, 900’ünden yanıt almıştır.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638"/>
      </w:tblGrid>
      <w:tr>
        <w:trPr>
          <w:cantSplit/>
          <w:tblHeader/>
        </w:trPr>
        <w:tc>
          <w:tcPr>
            <w:tcW w:type="dxa" w:w="3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Gösterge</w:t>
            </w:r>
          </w:p>
        </w:tc>
        <w:tc>
          <w:tcPr>
            <w:tcW w:type="dxa" w:w="3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2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Sonuç</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Anket katılım oranı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900 ÷ 1.200 × 100</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%75,0</w:t>
            </w:r>
          </w:p>
        </w:tc>
      </w:tr>
      <w:tr>
        <w:trPr>
          <w:cantSplit/>
        </w:trPr>
        <w:tc>
          <w:tcPr>
            <w:tcW w:type="dxa" w:w="3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Dinçlik (ortalama, 0–6)</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Üç maddenin ortalaması</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Adanmışlık (ortalama, 0–6)</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Üç maddenin ortalaması</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4,6</w:t>
            </w:r>
          </w:p>
        </w:tc>
      </w:tr>
      <w:tr>
        <w:trPr>
          <w:cantSplit/>
        </w:trPr>
        <w:tc>
          <w:tcPr>
            <w:tcW w:type="dxa" w:w="3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Yoğunlaşma (ortalama, 0–6)</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Üç maddenin ortalaması</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3,8</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Genel bağlılık puanı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 + 4,6 + 3,8) ÷ 3</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r>
    </w:tbl>
    <w:p>
      <w:pPr>
        <w:spacing w:after="140"/>
      </w:pPr>
    </w:p>
    <w:p>
      <w:pPr>
        <w:spacing w:after="140" w:line="288"/>
        <w:jc w:val="left"/>
      </w:pPr>
      <w:r>
        <w:rPr>
          <w:rFonts w:ascii="Calibri" w:cs="Calibri" w:eastAsia="Calibri" w:hAnsi="Calibri"/>
          <w:sz w:val="22"/>
          <w:szCs w:val="22"/>
        </w:rPr>
        <w:t xml:space="preserve">Genel puan 4,2’dir, ama yoğunlaşma boyutu 3,8 ile en düşük olandır. Bu, çalışanların işlerini anlamlı buldukları (adanmışlık yüksek) ama işe tam odaklanmalarını engelleyen bir şey olduğu anlamına gelebilir: kesintiler, toplantı yoğunluğu ya da belirsiz öncelikler. Standardın koşul–boyut eşlemesi vermediği unutulmamalı; bu yalnızca bir inceleme ipucudur. Hiçbir sayının standart eşiği yoktur: Önceki ölçümler, gruplar arası farklar ve zaman içindeki eğilim okunmalı, dış karşılaştırma yapılacaksa aracın kendi norm verileri kullanılmalıdır.</w:t>
      </w:r>
    </w:p>
    <w:p>
      <w:pPr>
        <w:spacing w:after="140" w:line="288"/>
        <w:jc w:val="left"/>
      </w:pPr>
      <w:r>
        <w:rPr>
          <w:rFonts w:ascii="Calibri" w:cs="Calibri" w:eastAsia="Calibri" w:hAnsi="Calibri"/>
          <w:sz w:val="22"/>
          <w:szCs w:val="22"/>
        </w:rPr>
        <w:t xml:space="preserve">Katılım oranı ayrıca bir yorum bilgisidir. %75 makul görünür, ama yanıt vermeyen 300 çalışanın hangi bölümlerden ve kıdemlerden olduğunu bilmek gerekir. Yanıt vermeyenler çoğu zaman en az bağlı olanlardır; bu durumda gerçek bağlılık raporlanandan düşük olabilir. Standart katılım eşiği vermez; ancak yüksek katılım, sonucun temsil gücünü artırır.</w:t>
      </w:r>
    </w:p>
    <w:p>
      <w:pPr>
        <w:pStyle w:val="Heading2"/>
        <w:keepNext/>
        <w:spacing w:after="110" w:before="320"/>
      </w:pPr>
      <w:r>
        <w:rPr>
          <w:rFonts w:ascii="Calibri" w:cs="Calibri" w:eastAsia="Calibri" w:hAnsi="Calibri"/>
          <w:b/>
          <w:bCs/>
          <w:sz w:val="27"/>
          <w:szCs w:val="27"/>
        </w:rPr>
        <w:t xml:space="preserve">Aşırı bağlılık da bir risktir</w:t>
      </w:r>
    </w:p>
    <w:p>
      <w:pPr>
        <w:spacing w:after="140" w:line="288"/>
        <w:jc w:val="left"/>
      </w:pPr>
      <w:r>
        <w:rPr>
          <w:rFonts w:ascii="Calibri" w:cs="Calibri" w:eastAsia="Calibri" w:hAnsi="Calibri"/>
          <w:sz w:val="22"/>
          <w:szCs w:val="22"/>
        </w:rPr>
        <w:t xml:space="preserve">Standardın dikkat çekici ve sıklıkla gözden kaçan bir uyarısı, sürekli yüksek bağlılığın riskleridir (4.1 ve 9.3). Çalışan sözleşmesinin üstünde, uzun süre çalışıyorsa, bu yüksek bağlılığın işareti olabilir; ama tükenmişliğin de öncüsüdür. Standart kurumlardan bu riski sistematik değerlendirmelerini, tükenmişliği önlemelerini, çalışma saatlerini, fazla mesaiyi ve anonim sağlık, güvenlik ve devamsızlık verilerini gözden geçirmelerini ve esneklik seçeneklerini duyurmalarını ister. Rehber sayfasındaki “fazla çalışma payı” göstergesi bu amaçla türetilmiştir: Toplam çalışma saatinin ne kadarının sözleşmeyi aştığı.</w:t>
      </w:r>
    </w:p>
    <w:p>
      <w:pPr>
        <w:spacing w:after="140" w:line="288"/>
        <w:jc w:val="left"/>
      </w:pPr>
      <w:r>
        <w:rPr>
          <w:rFonts w:ascii="Calibri" w:cs="Calibri" w:eastAsia="Calibri" w:hAnsi="Calibri"/>
          <w:sz w:val="22"/>
          <w:szCs w:val="22"/>
        </w:rPr>
        <w:t xml:space="preserve">Kurgusal şirketimizde fazla çalışma payı %14’tür ve en yüksek bağlılık puanını (adanmışlık 4,6) alan bölümde %22’ye çıkmaktadır. İki sayının birlikte okunması, bu bölümde yüksek bağlılığın kısmen aşırı yüklenmeden kaynaklandığı sorusunu doğurur. Devamsızlık ve sağlık verileri (Kısım 5.4) bu şüpheyi sınamak için kullanılır. Standardın “sağlık öncelikli” ilkesi tam olarak budur: Bağlılığı, çalışanın sağlığı pahasına artırmak amaç olamaz.</w:t>
      </w:r>
    </w:p>
    <w:p>
      <w:pPr>
        <w:pStyle w:val="Heading2"/>
        <w:keepNext/>
        <w:spacing w:after="110" w:before="320"/>
      </w:pPr>
      <w:r>
        <w:rPr>
          <w:rFonts w:ascii="Calibri" w:cs="Calibri" w:eastAsia="Calibri" w:hAnsi="Calibri"/>
          <w:b/>
          <w:bCs/>
          <w:sz w:val="27"/>
          <w:szCs w:val="27"/>
        </w:rPr>
        <w:t xml:space="preserve">Bağlılık ile ilgili benzer kavramlar</w:t>
      </w:r>
    </w:p>
    <w:p>
      <w:pPr>
        <w:spacing w:after="140" w:line="288"/>
        <w:jc w:val="left"/>
      </w:pPr>
      <w:r>
        <w:rPr>
          <w:rFonts w:ascii="Calibri" w:cs="Calibri" w:eastAsia="Calibri" w:hAnsi="Calibri"/>
          <w:sz w:val="22"/>
          <w:szCs w:val="22"/>
        </w:rPr>
        <w:t xml:space="preserve">Standardın girişi, bağlılığın iş tatmini, kuruma bağlılık ve rol dışı davranış gibi mevcut kavramların bir karışımı olduğunu söyler; bu da pratikte sık bir karışıklığa yol açar. İş tatmini, çalışanın işinden duyduğu memnuniyettir ve statik bir tutumdur. Kuruma bağlılık (örgütsel bağlılık), çalışanın kurumun bir parçası olarak kalma isteğidir. Çalışan bağlılığı ise bunların ötesinde, işe enerji, anlam ve odak getiren aktif bir durumdur. Memnun ama bağlı olmayan bir çalışan işini rahatça yapar ve kimseye zarar vermez; bağlı bir çalışan ise isteğe bağlı çaba gösterir. Kurum için ayrım pratiktir: Memnuniyet anketinin yüksek çıkması, çalışanların bağlı olduğunu göstermez. Bağlılık ölçeklerinin geçerli araçlarla ölçülmesi bu nedenle önerilir; memnuniyet soruları ise ücret ve yan haklar gibi alanları ölçer ve bağlılık için gerekli ama yeterli değildir.</w:t>
      </w:r>
    </w:p>
    <w:p>
      <w:pPr>
        <w:pStyle w:val="Heading2"/>
        <w:keepNext/>
        <w:spacing w:after="110" w:before="320"/>
      </w:pPr>
      <w:r>
        <w:rPr>
          <w:rFonts w:ascii="Calibri" w:cs="Calibri" w:eastAsia="Calibri" w:hAnsi="Calibri"/>
          <w:b/>
          <w:bCs/>
          <w:sz w:val="27"/>
          <w:szCs w:val="27"/>
        </w:rPr>
        <w:t xml:space="preserve">Çalışan sesi ve temsil</w:t>
      </w:r>
    </w:p>
    <w:p>
      <w:pPr>
        <w:spacing w:after="140" w:line="288"/>
        <w:jc w:val="left"/>
      </w:pPr>
      <w:r>
        <w:rPr>
          <w:rFonts w:ascii="Calibri" w:cs="Calibri" w:eastAsia="Calibri" w:hAnsi="Calibri"/>
          <w:sz w:val="22"/>
          <w:szCs w:val="22"/>
        </w:rPr>
        <w:t xml:space="preserve">Standart, çalışanları ve varsa tanınmış temsilcilerini, değerlerin geliştirilmesinde, risk değerlendirmesinde, sağlık yaklaşımının tasarımında, ücret çerçevesinde ve takdir yöntemlerinde danışılan taraf olarak konumlar. Bu, bağlılığın ölçülüp çalışanlara raporlanmasından fazlasıdır: Çalışanlar sonuçların yorumlanmasına ve eylem planına katıldığında, bağlılık için ek değer üretilir. Standart ulusal iş yasalarını ve toplu sözleşmeleri ihlal etmeyi amaçlamaz; çalışan temsilinin tanınmadığı yerlerde ise temsil kapsamı ve görevlerinin tanımlanmasını önerir.</w:t>
      </w:r>
    </w:p>
    <w:p>
      <w:pPr>
        <w:pStyle w:val="Heading2"/>
        <w:keepNext/>
        <w:spacing w:after="110" w:before="320"/>
      </w:pPr>
      <w:r>
        <w:rPr>
          <w:rFonts w:ascii="Calibri" w:cs="Calibri" w:eastAsia="Calibri" w:hAnsi="Calibri"/>
          <w:b/>
          <w:bCs/>
          <w:sz w:val="27"/>
          <w:szCs w:val="27"/>
        </w:rPr>
        <w:t xml:space="preserve">Öz değerlendirme: Kapsama puanı</w:t>
      </w:r>
    </w:p>
    <w:p>
      <w:pPr>
        <w:spacing w:after="140" w:line="288"/>
        <w:jc w:val="left"/>
      </w:pPr>
      <w:r>
        <w:rPr>
          <w:rFonts w:ascii="Calibri" w:cs="Calibri" w:eastAsia="Calibri" w:hAnsi="Calibri"/>
          <w:sz w:val="22"/>
          <w:szCs w:val="22"/>
        </w:rPr>
        <w:t xml:space="preserve">Rehber sayfası, 67 ifadenin her birini “uygulanıyor”, “kısmen uygulanıyor” ya da “uygulanmıyor” olarak işaretleyen bir öz değerlendirme tablosu sunar. Kapsama puanı türetilmiş bir ölçüdür: (uygulanan + 0,5 × kısmen) ÷ toplam ×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Kapsama puanı (kurgusal)</w:t>
            </w:r>
          </w:p>
          <w:p>
            <w:pPr>
              <w:spacing w:after="0" w:line="276"/>
            </w:pPr>
            <w:r>
              <w:rPr>
                <w:rFonts w:ascii="Calibri" w:cs="Calibri" w:eastAsia="Calibri" w:hAnsi="Calibri"/>
                <w:sz w:val="21"/>
                <w:szCs w:val="21"/>
              </w:rPr>
              <w:t xml:space="preserve">67 ifadenin 38’i uygulanıyor, 17’si kısmen uygulanıyor, 12’si uygulanmıyor olsun. Kapsama = (38 + 0,5 × 17) ÷ 67 × 100 = 46,5 ÷ 67 × 100 = %69,4. Kurumun hedefi %70 ise, hedefin hemen altındadır.</w:t>
            </w:r>
          </w:p>
        </w:tc>
      </w:tr>
    </w:tbl>
    <w:p>
      <w:pPr>
        <w:spacing w:after="120"/>
      </w:pPr>
    </w:p>
    <w:p>
      <w:pPr>
        <w:spacing w:after="140" w:line="288"/>
        <w:jc w:val="left"/>
      </w:pPr>
      <w:r>
        <w:rPr>
          <w:rFonts w:ascii="Calibri" w:cs="Calibri" w:eastAsia="Calibri" w:hAnsi="Calibri"/>
          <w:sz w:val="22"/>
          <w:szCs w:val="22"/>
        </w:rPr>
        <w:t xml:space="preserve">Bu yüzde bir uygunluk puanı değildir. Standart, ifadelerin hepsinin her kurum için pratik ya da önemli olmayabileceğini söyler; uygulanmayan bir ifadenin “neden gerekli değil” gerekçesiyle belgelenmesi daha değerlidir. Ayrıca bazı ifadeler kurumun bir şeyi “kabul ettiğini”, bazıları somut bir şeye “sahip olduğunu” söyler; “uygulanıyor” işaretlemek için kanıt (politika metni, karar, uygulama kaydı) tutulması önerilir.</w:t>
      </w:r>
    </w:p>
    <w:p>
      <w:pPr>
        <w:pStyle w:val="Heading2"/>
        <w:keepNext/>
        <w:spacing w:after="110" w:before="320"/>
      </w:pPr>
      <w:r>
        <w:rPr>
          <w:rFonts w:ascii="Calibri" w:cs="Calibri" w:eastAsia="Calibri" w:hAnsi="Calibri"/>
          <w:b/>
          <w:bCs/>
          <w:sz w:val="27"/>
          <w:szCs w:val="27"/>
        </w:rPr>
        <w:t xml:space="preserve">Yorum, sınırlamalar ve raporlama</w:t>
      </w:r>
    </w:p>
    <w:p>
      <w:pPr>
        <w:pStyle w:val="ListParagraph"/>
        <w:numPr>
          <w:ilvl w:val="0"/>
          <w:numId w:val="2"/>
        </w:numPr>
        <w:spacing w:after="80" w:line="280"/>
      </w:pPr>
      <w:r>
        <w:rPr>
          <w:rFonts w:ascii="Calibri" w:cs="Calibri" w:eastAsia="Calibri" w:hAnsi="Calibri"/>
          <w:b/>
          <w:bCs/>
          <w:sz w:val="22"/>
          <w:szCs w:val="22"/>
        </w:rPr>
        <w:t xml:space="preserve">Ortalama yerine dağılıma bakın.</w:t>
      </w:r>
      <w:r>
        <w:rPr>
          <w:rFonts w:ascii="Calibri" w:cs="Calibri" w:eastAsia="Calibri" w:hAnsi="Calibri"/>
          <w:sz w:val="22"/>
          <w:szCs w:val="22"/>
        </w:rPr>
        <w:t xml:space="preserve"> Yüksek genel puan, bir boyutun düşüklüğünü gizleyebilir.</w:t>
      </w:r>
    </w:p>
    <w:p>
      <w:pPr>
        <w:pStyle w:val="ListParagraph"/>
        <w:numPr>
          <w:ilvl w:val="0"/>
          <w:numId w:val="2"/>
        </w:numPr>
        <w:spacing w:after="80" w:line="280"/>
      </w:pPr>
      <w:r>
        <w:rPr>
          <w:rFonts w:ascii="Calibri" w:cs="Calibri" w:eastAsia="Calibri" w:hAnsi="Calibri"/>
          <w:b/>
          <w:bCs/>
          <w:sz w:val="22"/>
          <w:szCs w:val="22"/>
        </w:rPr>
        <w:t xml:space="preserve">Katılım ve temsil gücünü birlikte okuyun.</w:t>
      </w:r>
      <w:r>
        <w:rPr>
          <w:rFonts w:ascii="Calibri" w:cs="Calibri" w:eastAsia="Calibri" w:hAnsi="Calibri"/>
          <w:sz w:val="22"/>
          <w:szCs w:val="22"/>
        </w:rPr>
        <w:t xml:space="preserve"> Düşük katılım, sonuçların tüm çalışanları temsil etmeme riski taşır.</w:t>
      </w:r>
    </w:p>
    <w:p>
      <w:pPr>
        <w:pStyle w:val="ListParagraph"/>
        <w:numPr>
          <w:ilvl w:val="0"/>
          <w:numId w:val="2"/>
        </w:numPr>
        <w:spacing w:after="80" w:line="280"/>
      </w:pPr>
      <w:r>
        <w:rPr>
          <w:rFonts w:ascii="Calibri" w:cs="Calibri" w:eastAsia="Calibri" w:hAnsi="Calibri"/>
          <w:b/>
          <w:bCs/>
          <w:sz w:val="22"/>
          <w:szCs w:val="22"/>
        </w:rPr>
        <w:t xml:space="preserve">Anonimlik her zaman önceliklidir.</w:t>
      </w:r>
      <w:r>
        <w:rPr>
          <w:rFonts w:ascii="Calibri" w:cs="Calibri" w:eastAsia="Calibri" w:hAnsi="Calibri"/>
          <w:sz w:val="22"/>
          <w:szCs w:val="22"/>
        </w:rPr>
        <w:t xml:space="preserve"> Küçük gruplarda ya da birden çok kırılımın birleşiminde sonuçlar kişileri ele verebilir; asgari raporlama grubu büyüklüğünü kurum belirler.</w:t>
      </w:r>
    </w:p>
    <w:p>
      <w:pPr>
        <w:pStyle w:val="ListParagraph"/>
        <w:numPr>
          <w:ilvl w:val="0"/>
          <w:numId w:val="2"/>
        </w:numPr>
        <w:spacing w:after="80" w:line="280"/>
      </w:pPr>
      <w:r>
        <w:rPr>
          <w:rFonts w:ascii="Calibri" w:cs="Calibri" w:eastAsia="Calibri" w:hAnsi="Calibri"/>
          <w:b/>
          <w:bCs/>
          <w:sz w:val="22"/>
          <w:szCs w:val="22"/>
        </w:rPr>
        <w:t xml:space="preserve">Nedensellik iddiasından kaçının.</w:t>
      </w:r>
      <w:r>
        <w:rPr>
          <w:rFonts w:ascii="Calibri" w:cs="Calibri" w:eastAsia="Calibri" w:hAnsi="Calibri"/>
          <w:sz w:val="22"/>
          <w:szCs w:val="22"/>
        </w:rPr>
        <w:t xml:space="preserve"> Üretkenlik ve elde tutma bağlılığın kanıtlanmış sonuçları değil, olası yararlarıdır.</w:t>
      </w:r>
    </w:p>
    <w:p>
      <w:pPr>
        <w:pStyle w:val="ListParagraph"/>
        <w:numPr>
          <w:ilvl w:val="0"/>
          <w:numId w:val="2"/>
        </w:numPr>
        <w:spacing w:after="80" w:line="280"/>
      </w:pPr>
      <w:r>
        <w:rPr>
          <w:rFonts w:ascii="Calibri" w:cs="Calibri" w:eastAsia="Calibri" w:hAnsi="Calibri"/>
          <w:b/>
          <w:bCs/>
          <w:sz w:val="22"/>
          <w:szCs w:val="22"/>
        </w:rPr>
        <w:t xml:space="preserve">Çalışanlarla birlikte yorumlayın.</w:t>
      </w:r>
      <w:r>
        <w:rPr>
          <w:rFonts w:ascii="Calibri" w:cs="Calibri" w:eastAsia="Calibri" w:hAnsi="Calibri"/>
          <w:sz w:val="22"/>
          <w:szCs w:val="22"/>
        </w:rPr>
        <w:t xml:space="preserve"> Sonuçları odak gruplarda tartışmadan eylem planı yazmayın.</w:t>
      </w:r>
    </w:p>
    <w:p>
      <w:pPr>
        <w:spacing w:after="140" w:line="288"/>
        <w:jc w:val="left"/>
      </w:pPr>
      <w:r>
        <w:rPr>
          <w:rFonts w:ascii="Calibri" w:cs="Calibri" w:eastAsia="Calibri" w:hAnsi="Calibri"/>
          <w:sz w:val="22"/>
          <w:szCs w:val="22"/>
        </w:rPr>
        <w:t xml:space="preserve">Sınırlamalar da bilinmelidir. Standart ölçüm, formül ya da eşik vermez; UWES’in 0–6 ölçeği ve üçer maddelik boyut düzeni standartta yer almaz. “Çalışan bağlılığı” terimi standardın tanımlar maddesinde bulunmaz; 4.2 ve 4.3 birlikte okunur. Bazı atıf numaraları metinle tutarsızdır ve giriş ile 5.2 maddesindeki çıktı listeleri tam örtüşmez. Ayrıca standart sendika ve iş konseyi ilişkilerinin özel yönlerini kapsam dışı bıraktığını söylese de çalışan temsilcileriyle danışmayı birçok maddede anar.</w:t>
      </w:r>
    </w:p>
    <w:p>
      <w:pPr>
        <w:spacing w:after="140" w:line="288"/>
        <w:jc w:val="left"/>
      </w:pPr>
      <w:r>
        <w:rPr>
          <w:rFonts w:ascii="Calibri" w:cs="Calibri" w:eastAsia="Calibri" w:hAnsi="Calibri"/>
          <w:sz w:val="22"/>
          <w:szCs w:val="22"/>
        </w:rPr>
        <w:t xml:space="preserve">Raporlamada yönetişim organları ve liderler, bağlılık politikasını, hedeflere karşı ilerlemeyi, elde tutma ve performansla ilişkiyi ve riskleri (aşırı bağlılık, tükenmişlik) yıllık raporda görür. İK uzmanları anket sonuçlarını, boyut puanlarını, öz değerlendirme kapsamasını ve veri koruma uyumunu izleme panosunda; yöneticiler kendi ekiplerinin (asgari grup büyüklüğü sağlanıyorsa) sonuçlarını; çalışanlar ve temsilciler ise değerlendirme yöntemlerini ve eylem planını görür.</w:t>
      </w:r>
    </w:p>
    <w:p>
      <w:pPr>
        <w:pStyle w:val="Heading3"/>
        <w:keepNext/>
        <w:spacing w:after="80" w:before="220"/>
      </w:pPr>
      <w:r>
        <w:rPr>
          <w:rFonts w:ascii="Calibri" w:cs="Calibri" w:eastAsia="Calibri" w:hAnsi="Calibri"/>
          <w:b/>
          <w:bCs/>
          <w:color w:val="0B5C8A"/>
          <w:sz w:val="23"/>
          <w:szCs w:val="23"/>
        </w:rPr>
        <w:t xml:space="preserve">Kurgusal vaka: Anket sonrası eylem</w:t>
      </w:r>
    </w:p>
    <w:p>
      <w:pPr>
        <w:spacing w:after="140" w:line="288"/>
        <w:jc w:val="left"/>
      </w:pPr>
      <w:r>
        <w:rPr>
          <w:rFonts w:ascii="Calibri" w:cs="Calibri" w:eastAsia="Calibri" w:hAnsi="Calibri"/>
          <w:sz w:val="22"/>
          <w:szCs w:val="22"/>
        </w:rPr>
        <w:t xml:space="preserve">Anadolu Örnek A.Ş.’nin bağlılık anketi sonuçları açıklandığında, üretim biriminde adanmışlık puanı 3,9 ile en düşük bölüm olmuştur. İK ekibi bunu hemen bir “bağlılık eğitimi” talebine çevirmek yerine, standardın yöntemini izlemiştir: Üç odak grubu toplanmış, çalışanlarla sonuçlar paylaşılmış ve beş koşul (kültür ve iletişim, liderlik, öğrenme, iş tasarımı, ücret ve takdir) birlikte gözden geçirilmiştir. Odak gruplarında öne çıkan konu ücret değil, iş tasarımıdır: Üretim hattındaki çalışanlar vardiya planının son anda değiştiğinden ve işlerinin neden önemli olduğunu hiçbir zaman duymadıklarından şikâyetçidir. Eylem planı iki başlıktan oluşmuştur: vardiya planının en az iki hafta önceden bildirilmesi ve ekip liderlerinin her ay hattın çıktısının müşteri etkisini anlatan kısa bir toplantı yapması. Altı ay sonra yapılan kısa tekrar anketinde adanmışlık puanı 4,3’e yükselmiştir. Bu vaka kurgusaldır; ancak standardın “çalışanlarla birlikte yorumlayın” ilkesinin ve koşulların çıktıdan önce ele alınması gerektiğinin pratik karşılığını gösterir.</w:t>
      </w:r>
    </w:p>
    <w:p>
      <w:pPr>
        <w:pStyle w:val="Heading2"/>
        <w:keepNext/>
        <w:spacing w:after="110" w:before="320"/>
      </w:pPr>
      <w:r>
        <w:rPr>
          <w:rFonts w:ascii="Calibri" w:cs="Calibri" w:eastAsia="Calibri" w:hAnsi="Calibri"/>
          <w:b/>
          <w:bCs/>
          <w:sz w:val="27"/>
          <w:szCs w:val="27"/>
        </w:rPr>
        <w:t xml:space="preserve">Sık yapılan hatalar</w:t>
      </w:r>
    </w:p>
    <w:p>
      <w:pPr>
        <w:pStyle w:val="ListParagraph"/>
        <w:numPr>
          <w:ilvl w:val="0"/>
          <w:numId w:val="2"/>
        </w:numPr>
        <w:spacing w:after="80" w:line="280"/>
      </w:pPr>
      <w:r>
        <w:rPr>
          <w:rFonts w:ascii="Calibri" w:cs="Calibri" w:eastAsia="Calibri" w:hAnsi="Calibri"/>
          <w:b/>
          <w:bCs/>
          <w:sz w:val="22"/>
          <w:szCs w:val="22"/>
        </w:rPr>
        <w:t xml:space="preserve">Bağlılığı tek bir puana indirgemek.</w:t>
      </w:r>
      <w:r>
        <w:rPr>
          <w:rFonts w:ascii="Calibri" w:cs="Calibri" w:eastAsia="Calibri" w:hAnsi="Calibri"/>
          <w:sz w:val="22"/>
          <w:szCs w:val="22"/>
        </w:rPr>
        <w:t xml:space="preserve"> Üç boyut ve beş koşul ayrı okunmalıdır.</w:t>
      </w:r>
    </w:p>
    <w:p>
      <w:pPr>
        <w:pStyle w:val="ListParagraph"/>
        <w:numPr>
          <w:ilvl w:val="0"/>
          <w:numId w:val="2"/>
        </w:numPr>
        <w:spacing w:after="80" w:line="280"/>
      </w:pPr>
      <w:r>
        <w:rPr>
          <w:rFonts w:ascii="Calibri" w:cs="Calibri" w:eastAsia="Calibri" w:hAnsi="Calibri"/>
          <w:b/>
          <w:bCs/>
          <w:sz w:val="22"/>
          <w:szCs w:val="22"/>
        </w:rPr>
        <w:t xml:space="preserve">Anketi yapıp sonuçları paylaşmamak.</w:t>
      </w:r>
      <w:r>
        <w:rPr>
          <w:rFonts w:ascii="Calibri" w:cs="Calibri" w:eastAsia="Calibri" w:hAnsi="Calibri"/>
          <w:sz w:val="22"/>
          <w:szCs w:val="22"/>
        </w:rPr>
        <w:t xml:space="preserve"> Bir sonraki ankette katılım ve güven düşer.</w:t>
      </w:r>
    </w:p>
    <w:p>
      <w:pPr>
        <w:pStyle w:val="ListParagraph"/>
        <w:numPr>
          <w:ilvl w:val="0"/>
          <w:numId w:val="2"/>
        </w:numPr>
        <w:spacing w:after="80" w:line="280"/>
      </w:pPr>
      <w:r>
        <w:rPr>
          <w:rFonts w:ascii="Calibri" w:cs="Calibri" w:eastAsia="Calibri" w:hAnsi="Calibri"/>
          <w:b/>
          <w:bCs/>
          <w:sz w:val="22"/>
          <w:szCs w:val="22"/>
        </w:rPr>
        <w:t xml:space="preserve">Aşırı bağlılığı başarı saymak.</w:t>
      </w:r>
      <w:r>
        <w:rPr>
          <w:rFonts w:ascii="Calibri" w:cs="Calibri" w:eastAsia="Calibri" w:hAnsi="Calibri"/>
          <w:sz w:val="22"/>
          <w:szCs w:val="22"/>
        </w:rPr>
        <w:t xml:space="preserve"> Fazla mesaiyi ve sağlık verisini birlikte izleyin.</w:t>
      </w:r>
    </w:p>
    <w:p>
      <w:pPr>
        <w:pStyle w:val="ListParagraph"/>
        <w:numPr>
          <w:ilvl w:val="0"/>
          <w:numId w:val="2"/>
        </w:numPr>
        <w:spacing w:after="80" w:line="280"/>
      </w:pPr>
      <w:r>
        <w:rPr>
          <w:rFonts w:ascii="Calibri" w:cs="Calibri" w:eastAsia="Calibri" w:hAnsi="Calibri"/>
          <w:b/>
          <w:bCs/>
          <w:sz w:val="22"/>
          <w:szCs w:val="22"/>
        </w:rPr>
        <w:t xml:space="preserve">Anketi tek başına bırakmak.</w:t>
      </w:r>
      <w:r>
        <w:rPr>
          <w:rFonts w:ascii="Calibri" w:cs="Calibri" w:eastAsia="Calibri" w:hAnsi="Calibri"/>
          <w:sz w:val="22"/>
          <w:szCs w:val="22"/>
        </w:rPr>
        <w:t xml:space="preserve"> Odak grupları ve geçerli araçlarla birlikte kullanın.</w:t>
      </w:r>
    </w:p>
    <w:p>
      <w:pPr>
        <w:pStyle w:val="ListParagraph"/>
        <w:numPr>
          <w:ilvl w:val="0"/>
          <w:numId w:val="2"/>
        </w:numPr>
        <w:spacing w:after="80" w:line="280"/>
      </w:pPr>
      <w:r>
        <w:rPr>
          <w:rFonts w:ascii="Calibri" w:cs="Calibri" w:eastAsia="Calibri" w:hAnsi="Calibri"/>
          <w:b/>
          <w:bCs/>
          <w:sz w:val="22"/>
          <w:szCs w:val="22"/>
        </w:rPr>
        <w:t xml:space="preserve">Çalışanları sürece dahil etmemek.</w:t>
      </w:r>
      <w:r>
        <w:rPr>
          <w:rFonts w:ascii="Calibri" w:cs="Calibri" w:eastAsia="Calibri" w:hAnsi="Calibri"/>
          <w:sz w:val="22"/>
          <w:szCs w:val="22"/>
        </w:rPr>
        <w:t xml:space="preserve"> Standart danışmayı birçok maddede şart koşar.</w:t>
      </w:r>
    </w:p>
    <w:p>
      <w:pPr>
        <w:pStyle w:val="Heading2"/>
        <w:keepNext/>
        <w:spacing w:after="110" w:before="320"/>
      </w:pPr>
      <w:r>
        <w:rPr>
          <w:rFonts w:ascii="Calibri" w:cs="Calibri" w:eastAsia="Calibri" w:hAnsi="Calibri"/>
          <w:b/>
          <w:bCs/>
          <w:sz w:val="27"/>
          <w:szCs w:val="27"/>
        </w:rPr>
        <w:t xml:space="preserve">Uygulama adımları</w:t>
      </w:r>
    </w:p>
    <w:p>
      <w:pPr>
        <w:pStyle w:val="ListParagraph"/>
        <w:numPr>
          <w:ilvl w:val="0"/>
          <w:numId w:val="3"/>
        </w:numPr>
        <w:spacing w:after="80" w:line="280"/>
      </w:pPr>
      <w:r>
        <w:rPr>
          <w:rFonts w:ascii="Calibri" w:cs="Calibri" w:eastAsia="Calibri" w:hAnsi="Calibri"/>
          <w:sz w:val="22"/>
          <w:szCs w:val="22"/>
        </w:rPr>
        <w:t xml:space="preserve">Bağlılığın kurumda ne anlama geldiği konusunda çalışanlar ve temsilcileriyle ortak anlayış kurun.</w:t>
      </w:r>
    </w:p>
    <w:p>
      <w:pPr>
        <w:pStyle w:val="ListParagraph"/>
        <w:numPr>
          <w:ilvl w:val="0"/>
          <w:numId w:val="3"/>
        </w:numPr>
        <w:spacing w:after="80" w:line="280"/>
      </w:pPr>
      <w:r>
        <w:rPr>
          <w:rFonts w:ascii="Calibri" w:cs="Calibri" w:eastAsia="Calibri" w:hAnsi="Calibri"/>
          <w:sz w:val="22"/>
          <w:szCs w:val="22"/>
        </w:rPr>
        <w:t xml:space="preserve">Üst yöneticilerin iş tanımına bağlılık koşullarını iyileştirme sorumluluğunu ekleyin; kaynak ayırın.</w:t>
      </w:r>
    </w:p>
    <w:p>
      <w:pPr>
        <w:pStyle w:val="ListParagraph"/>
        <w:numPr>
          <w:ilvl w:val="0"/>
          <w:numId w:val="3"/>
        </w:numPr>
        <w:spacing w:after="80" w:line="280"/>
      </w:pPr>
      <w:r>
        <w:rPr>
          <w:rFonts w:ascii="Calibri" w:cs="Calibri" w:eastAsia="Calibri" w:hAnsi="Calibri"/>
          <w:sz w:val="22"/>
          <w:szCs w:val="22"/>
        </w:rPr>
        <w:t xml:space="preserve">Mevcut durumu anket, odak grubu ve geçerli araçla ölçün; anonimliği güvenceye alın.</w:t>
      </w:r>
    </w:p>
    <w:p>
      <w:pPr>
        <w:pStyle w:val="ListParagraph"/>
        <w:numPr>
          <w:ilvl w:val="0"/>
          <w:numId w:val="3"/>
        </w:numPr>
        <w:spacing w:after="80" w:line="280"/>
      </w:pPr>
      <w:r>
        <w:rPr>
          <w:rFonts w:ascii="Calibri" w:cs="Calibri" w:eastAsia="Calibri" w:hAnsi="Calibri"/>
          <w:sz w:val="22"/>
          <w:szCs w:val="22"/>
        </w:rPr>
        <w:t xml:space="preserve">Öz değerlendirme tablosuyla beş koşulun her maddesindeki uygulama düzeyini belirleyin.</w:t>
      </w:r>
    </w:p>
    <w:p>
      <w:pPr>
        <w:pStyle w:val="ListParagraph"/>
        <w:numPr>
          <w:ilvl w:val="0"/>
          <w:numId w:val="3"/>
        </w:numPr>
        <w:spacing w:after="80" w:line="280"/>
      </w:pPr>
      <w:r>
        <w:rPr>
          <w:rFonts w:ascii="Calibri" w:cs="Calibri" w:eastAsia="Calibri" w:hAnsi="Calibri"/>
          <w:sz w:val="22"/>
          <w:szCs w:val="22"/>
        </w:rPr>
        <w:t xml:space="preserve">Değerlerin, rollerin, risk değerlendirmesinin ve ücret/takdir çerçevesinin tasarımına çalışanları dahil edin.</w:t>
      </w:r>
    </w:p>
    <w:p>
      <w:pPr>
        <w:pStyle w:val="ListParagraph"/>
        <w:numPr>
          <w:ilvl w:val="0"/>
          <w:numId w:val="3"/>
        </w:numPr>
        <w:spacing w:after="80" w:line="280"/>
      </w:pPr>
      <w:r>
        <w:rPr>
          <w:rFonts w:ascii="Calibri" w:cs="Calibri" w:eastAsia="Calibri" w:hAnsi="Calibri"/>
          <w:sz w:val="22"/>
          <w:szCs w:val="22"/>
        </w:rPr>
        <w:t xml:space="preserve">Aşırı bağlılığı izleyin: fazla mesai, devamsızlık ve anonim sağlık verisi.</w:t>
      </w:r>
    </w:p>
    <w:p>
      <w:pPr>
        <w:pStyle w:val="ListParagraph"/>
        <w:numPr>
          <w:ilvl w:val="0"/>
          <w:numId w:val="3"/>
        </w:numPr>
        <w:spacing w:after="80" w:line="280"/>
      </w:pPr>
      <w:r>
        <w:rPr>
          <w:rFonts w:ascii="Calibri" w:cs="Calibri" w:eastAsia="Calibri" w:hAnsi="Calibri"/>
          <w:sz w:val="22"/>
          <w:szCs w:val="22"/>
        </w:rPr>
        <w:t xml:space="preserve">Öğrenmeyi bağlılık etkinlikleriyle ilişkilendirin.</w:t>
      </w:r>
    </w:p>
    <w:p>
      <w:pPr>
        <w:pStyle w:val="ListParagraph"/>
        <w:numPr>
          <w:ilvl w:val="0"/>
          <w:numId w:val="3"/>
        </w:numPr>
        <w:spacing w:after="80" w:line="280"/>
      </w:pPr>
      <w:r>
        <w:rPr>
          <w:rFonts w:ascii="Calibri" w:cs="Calibri" w:eastAsia="Calibri" w:hAnsi="Calibri"/>
          <w:sz w:val="22"/>
          <w:szCs w:val="22"/>
        </w:rPr>
        <w:t xml:space="preserve">İlerlemeyi düzenli ölçün, sonuçları paylaşın ve politikayı iyileştirin.</w:t>
      </w:r>
    </w:p>
    <w:p>
      <w:pPr>
        <w:pStyle w:val="Heading1"/>
        <w:keepNext/>
        <w:pageBreakBefore/>
        <w:spacing w:after="100" w:before="0"/>
      </w:pPr>
      <w:r>
        <w:rPr>
          <w:rFonts w:ascii="Calibri" w:cs="Calibri" w:eastAsia="Calibri" w:hAnsi="Calibri"/>
          <w:b/>
          <w:bCs/>
          <w:color w:val="0B5C8A"/>
          <w:sz w:val="34"/>
          <w:szCs w:val="34"/>
        </w:rPr>
        <w:t xml:space="preserve">5.2  Örgüt Kültürü Metrikleri Kümesi</w:t>
      </w:r>
    </w:p>
    <w:p>
      <w:pPr>
        <w:keepNext/>
        <w:pBdr>
          <w:bottom w:val="single" w:color="0B5C8A" w:sz="8" w:space="6"/>
        </w:pBdr>
        <w:spacing w:after="220"/>
      </w:pPr>
      <w:r>
        <w:rPr>
          <w:rFonts w:ascii="Calibri" w:cs="Calibri" w:eastAsia="Calibri" w:hAnsi="Calibri"/>
          <w:i/>
          <w:iCs/>
          <w:color w:val="59636F"/>
          <w:sz w:val="26"/>
          <w:szCs w:val="26"/>
        </w:rPr>
        <w:t xml:space="preserve">ISO/TS 24178:2021 — Bağlılık, memnuniyet ve bağlanma ile tutma oranı.</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ISO/TS 24178, ISO 30414’ün örgüt kültürü kümesini ayrıntılandıran bir teknik şartnamedir. Örgüt kültürünün unsurlarını anlatır, iç ve dış raporlama için karşılaştırılabilir ölçümlerin formülünü verir ve kültür verisini yorumlarken, özellikle iç müdahalelere karar verirken ve dış paydaşlara raporlarken dikkate alınacak konuları vurgular. Şartname iki metriği ele alır: bağlılık, memnuniyet ve bağlanma ile tutma oranı. Her biri için genel tanım, amaç, formül, bağlam etkenleri ve öngörü etkenleri verilir. Ek A’da çalışan anketiyle kültürün sağlığını değerlendirmek için 25 ifadelik bir temel anket ve puanlama yöntemi yer alır.</w:t>
      </w:r>
    </w:p>
    <w:p>
      <w:pPr>
        <w:spacing w:after="140" w:line="288"/>
        <w:jc w:val="left"/>
      </w:pPr>
      <w:r>
        <w:rPr>
          <w:rFonts w:ascii="Calibri" w:cs="Calibri" w:eastAsia="Calibri" w:hAnsi="Calibri"/>
          <w:sz w:val="22"/>
          <w:szCs w:val="22"/>
        </w:rPr>
        <w:t xml:space="preserve">Şartnamenin temel tanımı basittir: Kültür, “burada işlerin yapılış biçimi”dir. Yapılan şey amaçtan (misyon ya da vizyon), nasıl yapıldığı ise değerlerden (davranışa yön veren ilkeler) oluşur. Kültürü değerlendiren her ölçüm sistemi hem amacı hem değerleri ele almalıdır. Şartname ayrıca dürüst bir sınır koyar: Etkili, güvenilir ve kabul görmüş kültür metrik yaklaşımları henüz emekleme aşamasındadır. Kurumlar anlayışlarını sürekli geliştirmeli ve metrikleri yüksek performanslı kültürü yönlendiren temel bileşenlere bağlamalıdır.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Bileşen</w:t>
            </w:r>
          </w:p>
        </w:tc>
        <w:tc>
          <w:tcPr>
            <w:tcW w:type="dxa" w:w="7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Yanıtladığı soru</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Genel tanım</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Metrik neyi ölçer, hangi terimlerle anlatılır?</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Amaç</w:t>
            </w:r>
          </w:p>
        </w:tc>
        <w:tc>
          <w:tcPr>
            <w:tcW w:type="dxa" w:w="7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kurumsal soruya hizmet eder, kimler kullanır?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Formül</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Neyin, hangi araçla ve hangi soruyla ölçüleceği; nasıl hesaplanacağı</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Bağlam etkenleri</w:t>
            </w:r>
          </w:p>
        </w:tc>
        <w:tc>
          <w:tcPr>
            <w:tcW w:type="dxa" w:w="7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Sonucu bugün ne etkiliyor olabilir?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Öngörü etkenleri</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Bilinen ve beklenen olaylar sonucu nasıl değiştirecek?</w:t>
            </w:r>
          </w:p>
        </w:tc>
      </w:tr>
    </w:tbl>
    <w:p>
      <w:pPr>
        <w:spacing w:after="140"/>
      </w:pPr>
    </w:p>
    <w:p>
      <w:pPr>
        <w:pStyle w:val="Heading2"/>
        <w:keepNext/>
        <w:spacing w:after="110" w:before="320"/>
      </w:pPr>
      <w:r>
        <w:rPr>
          <w:rFonts w:ascii="Calibri" w:cs="Calibri" w:eastAsia="Calibri" w:hAnsi="Calibri"/>
          <w:b/>
          <w:bCs/>
          <w:sz w:val="27"/>
          <w:szCs w:val="27"/>
        </w:rPr>
        <w:t xml:space="preserve">Ölçümün derinliği kültürel olgunluğa bağlıdır</w:t>
      </w:r>
    </w:p>
    <w:p>
      <w:pPr>
        <w:spacing w:after="140" w:line="288"/>
        <w:jc w:val="left"/>
      </w:pPr>
      <w:r>
        <w:rPr>
          <w:rFonts w:ascii="Calibri" w:cs="Calibri" w:eastAsia="Calibri" w:hAnsi="Calibri"/>
          <w:sz w:val="22"/>
          <w:szCs w:val="22"/>
        </w:rPr>
        <w:t xml:space="preserve">Neyi ölçeceğinize karar verirken kritik etken, kurumun kendi benzersiz kültürünü belirlemedeki olgunluğudur. Şartname bunu dört aşamayla gösterir ve her aşamaya farklı bir ölçüm yaklaşımı atar.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900"/>
        <w:gridCol w:w="33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Aşama</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Olgunluk</w:t>
            </w:r>
          </w:p>
        </w:tc>
        <w:tc>
          <w:tcPr>
            <w:tcW w:type="dxa" w:w="3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Açıklama</w:t>
            </w:r>
          </w:p>
        </w:tc>
        <w:tc>
          <w:tcPr>
            <w:tcW w:type="dxa" w:w="3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Ölçme yaklaşımı</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Gelişmemiş</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Beklenen kültürü tanımlayan bir amaç, değer ya da ifade yok</w:t>
            </w:r>
          </w:p>
        </w:tc>
        <w:tc>
          <w:tcPr>
            <w:tcW w:type="dxa" w:w="3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Genel işgücü memnuniyeti sorularına dayalı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2</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Erken</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İstenen kültür geliştirilmiş; istenen ile mevcut gerçeklik arasındaki boşluk değerlendirilmiş</w:t>
            </w:r>
          </w:p>
        </w:tc>
        <w:tc>
          <w:tcPr>
            <w:tcW w:type="dxa" w:w="3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Memnuniyet göstergeleri ile istenen kültüre karşı gerçek performansı karıştıran sorular</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3</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Gelişen</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İstenen kültür işe alım, uyum eğitimi, liderlik gelişimi, politika, performans geri bildirimi ve ücretlendirmeye yerleştirilmiş</w:t>
            </w:r>
          </w:p>
        </w:tc>
        <w:tc>
          <w:tcPr>
            <w:tcW w:type="dxa" w:w="3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Çalışanların gerçek deneyimlerine karşı kurumun kendi beklentilerine özgü sorular</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4</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Olgun</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Kültür anlaşılmış ve uygulanıyor; insan davranışları operasyonel hedeflerle açıkça uyumlu</w:t>
            </w:r>
          </w:p>
        </w:tc>
        <w:tc>
          <w:tcPr>
            <w:tcW w:type="dxa" w:w="3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Anket, liderlik 360° değerlendirmesi, müşteri ve tedarikçi girdisi gibi araç portföyü</w:t>
            </w:r>
          </w:p>
        </w:tc>
      </w:tr>
    </w:tbl>
    <w:p>
      <w:pPr>
        <w:spacing w:after="140"/>
      </w:pPr>
    </w:p>
    <w:p>
      <w:pPr>
        <w:spacing w:after="140" w:line="288"/>
        <w:jc w:val="left"/>
      </w:pPr>
      <w:r>
        <w:rPr>
          <w:rFonts w:ascii="Calibri" w:cs="Calibri" w:eastAsia="Calibri" w:hAnsi="Calibri"/>
          <w:sz w:val="22"/>
          <w:szCs w:val="22"/>
        </w:rPr>
        <w:t xml:space="preserve">Bu aşamalandırma, “her kurum aynı anketi yapsın” beklentisine karşı çıkar. Amacını ve değerlerini henüz yazmamış bir kurumun, “değerlerimiz karar vermeye yön veriyor mu?” diye sorması anlamsızdır; çünkü ortada sorulacak değer yoktur. Böyle bir kurum için önce basit bir temel anket, ardından amaç ve değerlerin tanımlanması gerekir. Olgun bir kurum ise anketle yetinmez; liderlik 360° değerlendirmesi, müşteri girdisi ve diğer kaynakları birleştirir.</w:t>
      </w:r>
    </w:p>
    <w:p>
      <w:pPr>
        <w:pStyle w:val="Heading2"/>
        <w:keepNext/>
        <w:spacing w:after="110" w:before="320"/>
      </w:pPr>
      <w:r>
        <w:rPr>
          <w:rFonts w:ascii="Calibri" w:cs="Calibri" w:eastAsia="Calibri" w:hAnsi="Calibri"/>
          <w:b/>
          <w:bCs/>
          <w:sz w:val="27"/>
          <w:szCs w:val="27"/>
        </w:rPr>
        <w:t xml:space="preserve">Araç seçimi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Araç</w:t>
            </w:r>
          </w:p>
        </w:tc>
        <w:tc>
          <w:tcPr>
            <w:tcW w:type="dxa" w:w="7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için uygun?</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anketi</w:t>
            </w:r>
          </w:p>
        </w:tc>
        <w:tc>
          <w:tcPr>
            <w:tcW w:type="dxa" w:w="7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Bağlılık bulgularını elde etmenin en yaygın aracıdır; genel (toplulaştırılmış) endeks üretmenin temelidir. Her anket anonimliği güvence altına almalıdır.</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Odak grup</w:t>
            </w:r>
          </w:p>
        </w:tc>
        <w:tc>
          <w:tcPr>
            <w:tcW w:type="dxa" w:w="7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Toplulaştırılmış sonuçlara girdi sağlar; etkili ve etkisiz motivasyon etkenlerini belirlemenin temelidir.</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Dış girdi</w:t>
            </w:r>
          </w:p>
        </w:tc>
        <w:tc>
          <w:tcPr>
            <w:tcW w:type="dxa" w:w="7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Çalışanların bağlılığına ilişkin üçüncü taraf bakış açısı; hizmet kuruluşlarında müşteri girdisi çok değerlidir (“bizimle çalışmak ne kadar kolay?”).</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360° anketler</w:t>
            </w:r>
          </w:p>
        </w:tc>
        <w:tc>
          <w:tcPr>
            <w:tcW w:type="dxa" w:w="7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Liderlerin üstleri, akranları ve astlarınca değerlendirilmesi; beyan edilen değerlerin liderlerce ne kadar gösterildiğini anlamada yararlıdır.</w:t>
            </w:r>
          </w:p>
        </w:tc>
      </w:tr>
    </w:tbl>
    <w:p>
      <w:pPr>
        <w:spacing w:after="140"/>
      </w:pPr>
    </w:p>
    <w:p>
      <w:pPr>
        <w:spacing w:after="140" w:line="288"/>
        <w:jc w:val="left"/>
      </w:pPr>
      <w:r>
        <w:rPr>
          <w:rFonts w:ascii="Calibri" w:cs="Calibri" w:eastAsia="Calibri" w:hAnsi="Calibri"/>
          <w:sz w:val="22"/>
          <w:szCs w:val="22"/>
        </w:rPr>
        <w:t xml:space="preserve">Çok ülkeli kurumlar için bir uyarı vardır: Liderlik ve motivasyon konularında veri toplayan her anket, tüm ülkelerde aynı çağrışım ve anlama sahip bir terminoloji kullanmalıdır; aksi hâlde veri uluslararası düzeyde karşılaştırılamaz. Bazı ulusal ve kurumsal kültürlerde kurumsal amaçla bağlılık düzeylerine ilişkin sorular daha az uygun olabilir ve kaçınılabilir ya da genel sonuçların daha düşük bir oranına ağırlıklandırılabilir.</w:t>
      </w:r>
    </w:p>
    <w:p>
      <w:pPr>
        <w:pStyle w:val="Heading2"/>
        <w:keepNext/>
        <w:spacing w:after="110" w:before="320"/>
      </w:pPr>
      <w:r>
        <w:rPr>
          <w:rFonts w:ascii="Calibri" w:cs="Calibri" w:eastAsia="Calibri" w:hAnsi="Calibri"/>
          <w:b/>
          <w:bCs/>
          <w:sz w:val="27"/>
          <w:szCs w:val="27"/>
        </w:rPr>
        <w:t xml:space="preserve">Kültürün yaşam döngüsüne yerleşmesi</w:t>
      </w:r>
    </w:p>
    <w:p>
      <w:pPr>
        <w:spacing w:after="140" w:line="288"/>
        <w:jc w:val="left"/>
      </w:pPr>
      <w:r>
        <w:rPr>
          <w:rFonts w:ascii="Calibri" w:cs="Calibri" w:eastAsia="Calibri" w:hAnsi="Calibri"/>
          <w:sz w:val="22"/>
          <w:szCs w:val="22"/>
        </w:rPr>
        <w:t xml:space="preserve">Şartname, olgunluğun üçüncü aşamasında kültürün işe alım programlarına, uyum eğitimine, liderlik gelişimine, politika ve prosedürlere, performans geri bildirimine ve ücretlendirmeye yerleştirilmesini bekler. Bu liste, Kısım 3 ve 4’te ele alınan süreçlerle kültürün nasıl bağlandığını gösterir. İşe alımda kişi profilinin değerlere uyumu sorgulanır; ön-uyum ve uyum eğitimi değerleri gösterir; liderlik gelişimi değerlerin yöneticilerin davranışına dönüşmesini sağlar; performans geri bildirimi değerlerle uyumlu davranışı da ölçer; ücretlendirme ise hangi davranışın ödüllendirildiğini ortaya koyar. Bu halkalardan birinde kopukluk olduğunda, beyan edilen kültür ile yaşanan kültür arasındaki boşluk büyür. Şartnamenin örneklerinden biri bunu çarpıcı biçimde anlatır: Yetersiz işe alım uygulamaları, kurumsal değerleri paylaşmayan çalışanları getirebilir; tutarsız amir yönlendirmesi daha düşük bağlılığa yol açabilir.</w:t>
      </w:r>
    </w:p>
    <w:p>
      <w:pPr>
        <w:pStyle w:val="Heading2"/>
        <w:keepNext/>
        <w:spacing w:after="110" w:before="320"/>
      </w:pPr>
      <w:r>
        <w:rPr>
          <w:rFonts w:ascii="Calibri" w:cs="Calibri" w:eastAsia="Calibri" w:hAnsi="Calibri"/>
          <w:b/>
          <w:bCs/>
          <w:sz w:val="27"/>
          <w:szCs w:val="27"/>
        </w:rPr>
        <w:t xml:space="preserve">Soru seçimi: Amaç, değer ve memnuniyet</w:t>
      </w:r>
    </w:p>
    <w:p>
      <w:pPr>
        <w:spacing w:after="140" w:line="288"/>
        <w:jc w:val="left"/>
      </w:pPr>
      <w:r>
        <w:rPr>
          <w:rFonts w:ascii="Calibri" w:cs="Calibri" w:eastAsia="Calibri" w:hAnsi="Calibri"/>
          <w:sz w:val="22"/>
          <w:szCs w:val="22"/>
        </w:rPr>
        <w:t xml:space="preserve">Şartnamenin soru seçimi ilkesi şudur: Seçilen sorular, çalışan bağlılığı düzeyleri ile örgüt kültürü arasında anlamlı bir bağ kurmalı; sonuçlar, düşük performansın olası nedenini belirleyip ortadan kaldıracak eylemi mümkün kılmalıdır. Sorular üç gruba ayrılır.</w:t>
      </w:r>
    </w:p>
    <w:p>
      <w:pPr>
        <w:pStyle w:val="ListParagraph"/>
        <w:numPr>
          <w:ilvl w:val="0"/>
          <w:numId w:val="2"/>
        </w:numPr>
        <w:spacing w:after="80" w:line="280"/>
      </w:pPr>
      <w:r>
        <w:rPr>
          <w:rFonts w:ascii="Calibri" w:cs="Calibri" w:eastAsia="Calibri" w:hAnsi="Calibri"/>
          <w:b/>
          <w:bCs/>
          <w:sz w:val="22"/>
          <w:szCs w:val="22"/>
        </w:rPr>
        <w:t xml:space="preserve">Amaçla ilgili sorular göreve yöneliktir.</w:t>
      </w:r>
      <w:r>
        <w:rPr>
          <w:rFonts w:ascii="Calibri" w:cs="Calibri" w:eastAsia="Calibri" w:hAnsi="Calibri"/>
          <w:sz w:val="22"/>
          <w:szCs w:val="22"/>
        </w:rPr>
        <w:t xml:space="preserve"> Kurumun net bir amacı var mı, amaca ulaşma planları iletildi mi, özel rolünüz net tanımlı mı, işinizi yapmak için gereken araç ve ekipmana erişiminiz var mı, geri bildirim alıyor musunuz, önerileriniz duyuluyor mu, iş yükünüz adil ve makul mü?</w:t>
      </w:r>
    </w:p>
    <w:p>
      <w:pPr>
        <w:pStyle w:val="ListParagraph"/>
        <w:numPr>
          <w:ilvl w:val="0"/>
          <w:numId w:val="2"/>
        </w:numPr>
        <w:spacing w:after="80" w:line="280"/>
      </w:pPr>
      <w:r>
        <w:rPr>
          <w:rFonts w:ascii="Calibri" w:cs="Calibri" w:eastAsia="Calibri" w:hAnsi="Calibri"/>
          <w:b/>
          <w:bCs/>
          <w:sz w:val="22"/>
          <w:szCs w:val="22"/>
        </w:rPr>
        <w:t xml:space="preserve">Değerlerle ilgili sorular davranışsal ortamı belirler.</w:t>
      </w:r>
      <w:r>
        <w:rPr>
          <w:rFonts w:ascii="Calibri" w:cs="Calibri" w:eastAsia="Calibri" w:hAnsi="Calibri"/>
          <w:sz w:val="22"/>
          <w:szCs w:val="22"/>
        </w:rPr>
        <w:t xml:space="preserve"> Kurumun net bir davranışsal değerler kümesi var mı, bu değerler karar vermeye yön veriyor mu, doğrudan amirim bu değerleri tutarlı uyguluyor mu?</w:t>
      </w:r>
    </w:p>
    <w:p>
      <w:pPr>
        <w:pStyle w:val="ListParagraph"/>
        <w:numPr>
          <w:ilvl w:val="0"/>
          <w:numId w:val="2"/>
        </w:numPr>
        <w:spacing w:after="80" w:line="280"/>
      </w:pPr>
      <w:r>
        <w:rPr>
          <w:rFonts w:ascii="Calibri" w:cs="Calibri" w:eastAsia="Calibri" w:hAnsi="Calibri"/>
          <w:b/>
          <w:bCs/>
          <w:sz w:val="22"/>
          <w:szCs w:val="22"/>
        </w:rPr>
        <w:t xml:space="preserve">Memnuniyet soruları</w:t>
      </w:r>
      <w:r>
        <w:rPr>
          <w:rFonts w:ascii="Calibri" w:cs="Calibri" w:eastAsia="Calibri" w:hAnsi="Calibri"/>
          <w:sz w:val="22"/>
          <w:szCs w:val="22"/>
        </w:rPr>
        <w:t xml:space="preserve"> ücret, teşvik ve prim planları ile yan haklar gibi alanları ölçer; motivasyon bakımından sınırlıdır ama olumsuz tutumlar üzerinde önemli etkisi olabilir.</w:t>
      </w:r>
    </w:p>
    <w:p>
      <w:pPr>
        <w:spacing w:after="140" w:line="288"/>
        <w:jc w:val="left"/>
      </w:pPr>
      <w:r>
        <w:rPr>
          <w:rFonts w:ascii="Calibri" w:cs="Calibri" w:eastAsia="Calibri" w:hAnsi="Calibri"/>
          <w:sz w:val="22"/>
          <w:szCs w:val="22"/>
        </w:rPr>
        <w:t xml:space="preserve">Şartnamenin kilit mesajı, düşük bağlılığın ve düşük güvenin, anketler beyan edilen ile gerçek davranış arasındaki boşluğu gösterdiğinde görüldüğüdür. Yüksek bağlılık, işgücü beyan edilen beklentileri bildiğinde, anladığında ve eylemde gözlemlediğinde ortaya çıkar.</w:t>
      </w:r>
    </w:p>
    <w:p>
      <w:pPr>
        <w:pStyle w:val="Heading2"/>
        <w:keepNext/>
        <w:spacing w:after="110" w:before="320"/>
      </w:pPr>
      <w:r>
        <w:rPr>
          <w:rFonts w:ascii="Calibri" w:cs="Calibri" w:eastAsia="Calibri" w:hAnsi="Calibri"/>
          <w:b/>
          <w:bCs/>
          <w:sz w:val="27"/>
          <w:szCs w:val="27"/>
        </w:rPr>
        <w:t xml:space="preserve">Temel kültür anketi: 25 ifade (Ek A)</w:t>
      </w:r>
    </w:p>
    <w:p>
      <w:pPr>
        <w:spacing w:after="140" w:line="288"/>
        <w:jc w:val="left"/>
      </w:pPr>
      <w:r>
        <w:rPr>
          <w:rFonts w:ascii="Calibri" w:cs="Calibri" w:eastAsia="Calibri" w:hAnsi="Calibri"/>
          <w:sz w:val="22"/>
          <w:szCs w:val="22"/>
        </w:rPr>
        <w:t xml:space="preserve">Ek A, bir kurumda kültür henüz net tanımlanmadan ve iş uygulamalarına yerleştirilmeden önce kullanılan 25 ifadelik genel bir anket örneğidir. Her ifade beşli ölçekle puanlanır: kesinlikle katılıyorum 5, katılıyorum 4, ne katılıyorum ne katılmıyorum 3, katılmıyorum 2, kesinlikle katılmıyorum 1. Toplam puan 125’e bölünerek genel yüzde sonuç elde edilir (25 ifade × en fazla 5 puan).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İfadeler</w:t>
            </w:r>
          </w:p>
        </w:tc>
        <w:tc>
          <w:tcPr>
            <w:tcW w:type="dxa" w:w="7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belirlemek için?</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 ve 2</w:t>
            </w:r>
          </w:p>
        </w:tc>
        <w:tc>
          <w:tcPr>
            <w:tcW w:type="dxa" w:w="7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amaç ifadesinin var olup olmadığını belirlemek</w:t>
            </w:r>
          </w:p>
        </w:tc>
      </w:tr>
      <w:tr>
        <w:trPr>
          <w:cantSplit/>
        </w:trPr>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3</w:t>
            </w:r>
          </w:p>
        </w:tc>
        <w:tc>
          <w:tcPr>
            <w:tcW w:type="dxa" w:w="7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değer ifadesinin var olup olmadığını belirlemek</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4–7</w:t>
            </w:r>
          </w:p>
        </w:tc>
        <w:tc>
          <w:tcPr>
            <w:tcW w:type="dxa" w:w="7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Amaca ilişkin ilk çalışan bakış açısını (kendi gerçekliklerini) değerlendirmek</w:t>
            </w:r>
          </w:p>
        </w:tc>
      </w:tr>
      <w:tr>
        <w:trPr>
          <w:cantSplit/>
        </w:trPr>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8–19</w:t>
            </w:r>
          </w:p>
        </w:tc>
        <w:tc>
          <w:tcPr>
            <w:tcW w:type="dxa" w:w="7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Davranışsal değerlere ilişkin ilk çalışan bakış açısını değerlendirmek</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20–25</w:t>
            </w:r>
          </w:p>
        </w:tc>
        <w:tc>
          <w:tcPr>
            <w:tcW w:type="dxa" w:w="7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Çalışanın, liderliğin beyan edilen değerlerle hizalanmasına ilişkin görüşünü değerlendirmek</w:t>
            </w:r>
          </w:p>
        </w:tc>
      </w:tr>
    </w:tbl>
    <w:p>
      <w:pPr>
        <w:spacing w:after="140"/>
      </w:pPr>
    </w:p>
    <w:p>
      <w:pPr>
        <w:pStyle w:val="Heading3"/>
        <w:keepNext/>
        <w:spacing w:after="80" w:before="220"/>
      </w:pPr>
      <w:r>
        <w:rPr>
          <w:rFonts w:ascii="Calibri" w:cs="Calibri" w:eastAsia="Calibri" w:hAnsi="Calibri"/>
          <w:b/>
          <w:bCs/>
          <w:color w:val="0B5C8A"/>
          <w:sz w:val="23"/>
          <w:szCs w:val="23"/>
        </w:rPr>
        <w:t xml:space="preserve">Kurgusal örnek: 25 ifadenin puanlanması</w:t>
      </w:r>
    </w:p>
    <w:p>
      <w:pPr>
        <w:spacing w:after="140" w:line="288"/>
        <w:jc w:val="left"/>
      </w:pPr>
      <w:r>
        <w:rPr>
          <w:rFonts w:ascii="Calibri" w:cs="Calibri" w:eastAsia="Calibri" w:hAnsi="Calibri"/>
          <w:sz w:val="22"/>
          <w:szCs w:val="22"/>
        </w:rPr>
        <w:t xml:space="preserve">Anadolu Örnek A.Ş.’de 900 yanıtın ifade bazında ortalamaları hesaplanmış ve beş yönde gruplanmıştır.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900"/>
        <w:gridCol w:w="1938"/>
      </w:tblGrid>
      <w:tr>
        <w:trPr>
          <w:cantSplit/>
          <w:tblHeader/>
        </w:trPr>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Yön</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İfadeler</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İfade sayısı</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Ortalama puan</w:t>
            </w:r>
          </w:p>
        </w:tc>
        <w:tc>
          <w:tcPr>
            <w:tcW w:type="dxa" w:w="1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Toplam puan</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Amaç ifadesi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c>
          <w:tcPr>
            <w:tcW w:type="dxa" w:w="1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8,4</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Değer ifadesi</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3,4</w:t>
            </w:r>
          </w:p>
        </w:tc>
        <w:tc>
          <w:tcPr>
            <w:tcW w:type="dxa" w:w="1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3,4</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Amaç gerçekliği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4–7</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3,9</w:t>
            </w:r>
          </w:p>
        </w:tc>
        <w:tc>
          <w:tcPr>
            <w:tcW w:type="dxa" w:w="1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15,6</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Davranışsal değerler</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8–19</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3,8</w:t>
            </w:r>
          </w:p>
        </w:tc>
        <w:tc>
          <w:tcPr>
            <w:tcW w:type="dxa" w:w="1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45,6</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Liderlik hizalaması</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20–25</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3,5</w:t>
            </w:r>
          </w:p>
        </w:tc>
        <w:tc>
          <w:tcPr>
            <w:tcW w:type="dxa" w:w="1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21,0</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1–25</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25</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w:t>
            </w:r>
          </w:p>
        </w:tc>
        <w:tc>
          <w:tcPr>
            <w:tcW w:type="dxa" w:w="1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94,0</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Genel kültür puanı</w:t>
            </w:r>
          </w:p>
          <w:p>
            <w:pPr>
              <w:spacing w:after="0" w:line="276"/>
            </w:pPr>
            <w:r>
              <w:rPr>
                <w:rFonts w:ascii="Calibri" w:cs="Calibri" w:eastAsia="Calibri" w:hAnsi="Calibri"/>
                <w:sz w:val="21"/>
                <w:szCs w:val="21"/>
              </w:rPr>
              <w:t xml:space="preserve">Genel yüzde = toplam puan ÷ 125 × 100 = 94,0 ÷ 125 × 100 = %75,2. Genel puan kabul edilebilir görünür; ama şartnamenin önerdiği gibi en düşük iki ya da üç ifadeye bakıldığında, en zayıf yönün liderlik hizalaması (3,5) ve değer ifadesi (3,4) olduğu görülür.</w:t>
            </w:r>
          </w:p>
        </w:tc>
      </w:tr>
    </w:tbl>
    <w:p>
      <w:pPr>
        <w:spacing w:after="120"/>
      </w:pPr>
    </w:p>
    <w:p>
      <w:pPr>
        <w:spacing w:after="140" w:line="288"/>
        <w:jc w:val="left"/>
      </w:pPr>
      <w:r>
        <w:rPr>
          <w:rFonts w:ascii="Calibri" w:cs="Calibri" w:eastAsia="Calibri" w:hAnsi="Calibri"/>
          <w:sz w:val="22"/>
          <w:szCs w:val="22"/>
        </w:rPr>
        <w:t xml:space="preserve">Şartname, sonuçların en düşük puanlı iki ya da üç ifadeden başlayarak ele alınmasını önerir. Örneğin 2. ifade (amaç ifadesinin yaygınlığı) düşük ya da karışıksa, bir değer ifadesinin daha fazla geliştirilmesi düşünülür. Bizim örneğimizde 3. ifadenin (değer ifadesi) düşük çıkması, değerlerin yazılı olduğu ama yeterince bilinmediği anlamına gelebilir. Liderlik hizalamasının (20–25) en düşük olması ise “beyan edilen ile gerçek davranış arasında boşluk” senaryosunu çağrıştırır: Değer ifadeleri yüksek puan alırken yöneticilerin bu değerlere uygun davranmadığı algılanıyor olabilir. Amir güveni (ifade 20) ile üst yönetim güveni (ifade 21) arasındaki fark, sorunun nerede yoğunlaştığını gösterir.</w:t>
      </w:r>
    </w:p>
    <w:p>
      <w:pPr>
        <w:spacing w:after="140" w:line="288"/>
        <w:jc w:val="left"/>
      </w:pPr>
      <w:r>
        <w:rPr>
          <w:rFonts w:ascii="Calibri" w:cs="Calibri" w:eastAsia="Calibri" w:hAnsi="Calibri"/>
          <w:sz w:val="22"/>
          <w:szCs w:val="22"/>
        </w:rPr>
        <w:t xml:space="preserve">Şartnamenin en önemli notu, anketin değerinin eyleme dönüşmesinde olduğudur. Sonuçlar her durumda odak gruplar, kent toplantıları (town hall) ve çalışma grupları gibi yaklaşımlarla çalışanlarla tartışılmalı; altta yatan kök nedenler belirlenmeli ve sorunları iyileştirecek girişimler geliştirilmelidir. Anketi yalnızca sorunları keşfetmek için kullanıp harekete geçmeyen bir kurum, bir sonraki ankette düşen katılım ve güvenle karşılaşır.</w:t>
      </w:r>
    </w:p>
    <w:p>
      <w:pPr>
        <w:pStyle w:val="Heading2"/>
        <w:keepNext/>
        <w:spacing w:after="110" w:before="320"/>
      </w:pPr>
      <w:r>
        <w:rPr>
          <w:rFonts w:ascii="Calibri" w:cs="Calibri" w:eastAsia="Calibri" w:hAnsi="Calibri"/>
          <w:b/>
          <w:bCs/>
          <w:sz w:val="27"/>
          <w:szCs w:val="27"/>
        </w:rPr>
        <w:t xml:space="preserve">Bağlılık endeksi raporlaması</w:t>
      </w:r>
    </w:p>
    <w:p>
      <w:pPr>
        <w:spacing w:after="140" w:line="288"/>
        <w:jc w:val="left"/>
      </w:pPr>
      <w:r>
        <w:rPr>
          <w:rFonts w:ascii="Calibri" w:cs="Calibri" w:eastAsia="Calibri" w:hAnsi="Calibri"/>
          <w:sz w:val="22"/>
          <w:szCs w:val="22"/>
        </w:rPr>
        <w:t xml:space="preserve">Şartname, 0 ile 100 arasında ölçeklenen bir bağlılık endeksini bölgelere ve yıllara göre raporlamayı örnekler. Örnekte “ortalama bağlılık endeksi”, bölge değerlerinin basit ortalamasıdır.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1838"/>
      </w:tblGrid>
      <w:tr>
        <w:trPr>
          <w:cantSplit/>
          <w:tblHeader/>
        </w:trPr>
        <w:tc>
          <w:tcPr>
            <w:tcW w:type="dxa" w:w="4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Bölge</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2018</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2017</w:t>
            </w:r>
          </w:p>
        </w:tc>
        <w:tc>
          <w:tcPr>
            <w:tcW w:type="dxa" w:w="1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2016</w:t>
            </w:r>
          </w:p>
        </w:tc>
      </w:tr>
      <w:tr>
        <w:trPr>
          <w:cantSplit/>
        </w:trPr>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Avrupa</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84</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83</w:t>
            </w:r>
          </w:p>
        </w:tc>
        <w:tc>
          <w:tcPr>
            <w:tcW w:type="dxa" w:w="1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w:t>
            </w:r>
          </w:p>
        </w:tc>
      </w:tr>
      <w:tr>
        <w:trPr>
          <w:cantSplit/>
        </w:trPr>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Asya/Pasifik</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86</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85</w:t>
            </w:r>
          </w:p>
        </w:tc>
        <w:tc>
          <w:tcPr>
            <w:tcW w:type="dxa" w:w="1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w:t>
            </w:r>
          </w:p>
        </w:tc>
      </w:tr>
      <w:tr>
        <w:trPr>
          <w:cantSplit/>
        </w:trPr>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Kuzey Amerika</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w:t>
            </w:r>
          </w:p>
        </w:tc>
        <w:tc>
          <w:tcPr>
            <w:tcW w:type="dxa" w:w="1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76</w:t>
            </w:r>
          </w:p>
        </w:tc>
      </w:tr>
      <w:tr>
        <w:trPr>
          <w:cantSplit/>
        </w:trPr>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Ortalama bağlılık endeksi (0–100)</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84</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83</w:t>
            </w:r>
          </w:p>
        </w:tc>
        <w:tc>
          <w:tcPr>
            <w:tcW w:type="dxa" w:w="1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79</w:t>
            </w:r>
          </w:p>
        </w:tc>
      </w:tr>
    </w:tbl>
    <w:p>
      <w:pPr>
        <w:spacing w:after="140"/>
      </w:pPr>
    </w:p>
    <w:p>
      <w:pPr>
        <w:spacing w:after="140" w:line="288"/>
        <w:jc w:val="left"/>
      </w:pPr>
      <w:r>
        <w:rPr>
          <w:rFonts w:ascii="Calibri" w:cs="Calibri" w:eastAsia="Calibri" w:hAnsi="Calibri"/>
          <w:sz w:val="22"/>
          <w:szCs w:val="22"/>
        </w:rPr>
        <w:t xml:space="preserve">Bu tablo şartnamedeki örnektir. Basit ortalama her bölgeye eşit ağırlık verir; çalışan sayısıyla ağırlıklı ortalama ise büyük bölgenin sonucunu daha çok yansıtır. Kurgusal bir ağırlıkla (Avrupa 200, Asya/Pasifik 100, Kuzey Amerika 700 çalışan) 2018 için ağırlıklı ortalama (84 × 200 + 86 × 100 + 81 × 700) ÷ 1.000 = 82,1’dir; basit ortalama ise 83,7’dir. İki sayı arasındaki 1,6 puanlık fark, çalışanların çoğunun en düşük puanlı bölgede çalıştığını gösterir. Dış raporlamada hangi ortalamanın kullanıldığı mutlaka yazılmalıdır.</w:t>
      </w:r>
    </w:p>
    <w:p>
      <w:pPr>
        <w:pStyle w:val="Heading2"/>
        <w:keepNext/>
        <w:spacing w:after="110" w:before="320"/>
      </w:pPr>
      <w:r>
        <w:rPr>
          <w:rFonts w:ascii="Calibri" w:cs="Calibri" w:eastAsia="Calibri" w:hAnsi="Calibri"/>
          <w:b/>
          <w:bCs/>
          <w:sz w:val="27"/>
          <w:szCs w:val="27"/>
        </w:rPr>
        <w:t xml:space="preserve">Metrik 2: Tutma oranı analitiği</w:t>
      </w:r>
    </w:p>
    <w:p>
      <w:pPr>
        <w:spacing w:after="140" w:line="288"/>
        <w:jc w:val="left"/>
      </w:pPr>
      <w:r>
        <w:rPr>
          <w:rFonts w:ascii="Calibri" w:cs="Calibri" w:eastAsia="Calibri" w:hAnsi="Calibri"/>
          <w:sz w:val="22"/>
          <w:szCs w:val="22"/>
        </w:rPr>
        <w:t xml:space="preserve">Tutma oranı, kurumsal kültürle ilgili göstergelerden biridir ve genel işgücü memnuniyeti düzeyini yansıtabildiği için sıklıkla istikrar endeksi olarak anılır. Şartname tutma oranının hem dönem başı ile sonu arasındaki genel değişimi, hem de nedensel analizi mümkün kılan altta yatan ayrıntıları göstermesini ister. Tutma ve devir metriklerinin ayrıntılı tartışması ISO/TS 30421’de yer alır (bölüm 5.5).</w:t>
      </w:r>
    </w:p>
    <w:p>
      <w:pPr>
        <w:spacing w:after="140" w:line="288"/>
        <w:jc w:val="left"/>
      </w:pPr>
      <w:r>
        <w:rPr>
          <w:rFonts w:ascii="Calibri" w:cs="Calibri" w:eastAsia="Calibri" w:hAnsi="Calibri"/>
          <w:sz w:val="22"/>
          <w:szCs w:val="22"/>
        </w:rPr>
        <w:t xml:space="preserve">Tutma oranının amacı, çalışma ortamının ya da kültürün istenen işgücünü elde tutmada ne kadar etkili olduğunu göstermektir. Kişisel ya da kariyer gelişimi nedenleriyle bir miktar devir ve çalışan kaybı kaçınılmazdır ve bazen olumludur; ancak olumlu bir kültür, işgücü üyelerine kurum içinde kalmaları için teşvik sağlamalıdır. Şartname kırılımlar önerir: ülke, şirket, bağlı ortaklık ya da bölüm bazında genel tutma oranları; departman bazında; hizmet yılına göre; ve kuruma uygun diğer analitikler. Liderliğin etkili bir kültür oluşturmadaki kritik rolü nedeniyle tutma düzeylerinin her analizi örgüt yapısı ve raporlama çerçevesiyle hizalanmalıdır.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cantSplit/>
          <w:tblHeader/>
        </w:trPr>
        <w:tc>
          <w:tcPr>
            <w:tcW w:type="dxa" w:w="5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Kayıp türü</w:t>
            </w:r>
          </w:p>
        </w:tc>
        <w:tc>
          <w:tcPr>
            <w:tcW w:type="dxa" w:w="4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Olası işaret</w:t>
            </w:r>
          </w:p>
        </w:tc>
      </w:tr>
      <w:tr>
        <w:trPr>
          <w:cantSplit/>
        </w:trPr>
        <w:tc>
          <w:tcPr>
            <w:tcW w:type="dxa" w:w="5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Deneme ya da eğitim döneminde kaybedilen çalışanlar</w:t>
            </w:r>
          </w:p>
        </w:tc>
        <w:tc>
          <w:tcPr>
            <w:tcW w:type="dxa" w:w="4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Olası işe alım sorunları</w:t>
            </w:r>
          </w:p>
        </w:tc>
      </w:tr>
      <w:tr>
        <w:trPr>
          <w:cantSplit/>
        </w:trPr>
        <w:tc>
          <w:tcPr>
            <w:tcW w:type="dxa" w:w="5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Deneme sonrası ama işe alımdan sonraki bir ila iki yıl içindeki kayıplar</w:t>
            </w:r>
          </w:p>
        </w:tc>
        <w:tc>
          <w:tcPr>
            <w:tcW w:type="dxa" w:w="4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Beyan edilen kültürün, yaşanan kültür olmadığına işaret edebilir</w:t>
            </w:r>
          </w:p>
        </w:tc>
      </w:tr>
      <w:tr>
        <w:trPr>
          <w:cantSplit/>
        </w:trPr>
        <w:tc>
          <w:tcPr>
            <w:tcW w:type="dxa" w:w="5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“Gerekçeli” feshedilen çalışanlar</w:t>
            </w:r>
          </w:p>
        </w:tc>
        <w:tc>
          <w:tcPr>
            <w:tcW w:type="dxa" w:w="4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Nedenlerin alt analizi yapılabilir</w:t>
            </w:r>
          </w:p>
        </w:tc>
      </w:tr>
      <w:tr>
        <w:trPr>
          <w:cantSplit/>
        </w:trPr>
        <w:tc>
          <w:tcPr>
            <w:tcW w:type="dxa" w:w="5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Farklı tutma oranları sergileyen departmanlara ya da departmanlardan transferler</w:t>
            </w:r>
          </w:p>
        </w:tc>
        <w:tc>
          <w:tcPr>
            <w:tcW w:type="dxa" w:w="4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Departmanlar arası farklı kültür deneyimi</w:t>
            </w:r>
          </w:p>
        </w:tc>
      </w:tr>
      <w:tr>
        <w:trPr>
          <w:cantSplit/>
        </w:trPr>
        <w:tc>
          <w:tcPr>
            <w:tcW w:type="dxa" w:w="5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Kurum içinde ama başlangıç grubunun dışında terfi edenler</w:t>
            </w:r>
          </w:p>
        </w:tc>
        <w:tc>
          <w:tcPr>
            <w:tcW w:type="dxa" w:w="4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Olumlu kayıp; grup tutma oranında kayıp görünür</w:t>
            </w:r>
          </w:p>
        </w:tc>
      </w:tr>
      <w:tr>
        <w:trPr>
          <w:cantSplit/>
        </w:trPr>
        <w:tc>
          <w:tcPr>
            <w:tcW w:type="dxa" w:w="5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Emeklilik nedeniyle gönüllü ya da zorunlu kayıplar</w:t>
            </w:r>
          </w:p>
        </w:tc>
        <w:tc>
          <w:tcPr>
            <w:tcW w:type="dxa" w:w="4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Normal, çoğunlukla kültürle ilgisiz kayıp</w:t>
            </w:r>
          </w:p>
        </w:tc>
      </w:tr>
    </w:tbl>
    <w:p>
      <w:pPr>
        <w:spacing w:after="140"/>
      </w:pPr>
    </w:p>
    <w:p>
      <w:pPr>
        <w:spacing w:after="140" w:line="288"/>
        <w:jc w:val="left"/>
      </w:pPr>
      <w:r>
        <w:rPr>
          <w:rFonts w:ascii="Calibri" w:cs="Calibri" w:eastAsia="Calibri" w:hAnsi="Calibri"/>
          <w:sz w:val="22"/>
          <w:szCs w:val="22"/>
        </w:rPr>
        <w:t xml:space="preserve">Bu tablonun öğrettiği ders, aynı tutma oranının farklı kültürel sorunlara işaret edebileceğidir. İşe başlayan çalışanların ilk altı ayda ayrılması, işe alım sürecindeki beklenti–gerçeklik uyumsuzluğunu; bir ile iki yıl arasındaki kayıp, ilk uyum sonrası yaşanan hayal kırıklığını; belirli bir bölümde yoğunlaşan kayıp ise yönetici sorununu gösterebilir. Şartnamenin ifadesiyle istenen bir kültürü sürdürmek, söz ile eylem arasındaki tutarlılığa dayanan temel bir zorluktur.</w:t>
      </w:r>
    </w:p>
    <w:p>
      <w:pPr>
        <w:pStyle w:val="Heading2"/>
        <w:keepNext/>
        <w:spacing w:after="110" w:before="320"/>
      </w:pPr>
      <w:r>
        <w:rPr>
          <w:rFonts w:ascii="Calibri" w:cs="Calibri" w:eastAsia="Calibri" w:hAnsi="Calibri"/>
          <w:b/>
          <w:bCs/>
          <w:sz w:val="27"/>
          <w:szCs w:val="27"/>
        </w:rPr>
        <w:t xml:space="preserve">Bağlam ve öngörü etkenleri</w:t>
      </w:r>
    </w:p>
    <w:p>
      <w:pPr>
        <w:spacing w:after="140" w:line="288"/>
        <w:jc w:val="left"/>
      </w:pPr>
      <w:r>
        <w:rPr>
          <w:rFonts w:ascii="Calibri" w:cs="Calibri" w:eastAsia="Calibri" w:hAnsi="Calibri"/>
          <w:sz w:val="22"/>
          <w:szCs w:val="22"/>
        </w:rPr>
        <w:t xml:space="preserve">Bağlılık için bağlam etkenleri arasında ulusal ya da bölgesel kültür, sektör, kurumun büyüklüğü ve yapısı, önemli olaylar (ekonomik daralmalar, birleşmeler ve devralmalar, kurumsal amaçtaki önemli değişiklikler, sahiplik değişiklikleri), mevcut yönetim güvenilirliği ve mevcut bağlılık düzeyi sayılır. Kamu kurumlarının kültürü özel kurumlardan, sahibi tarafından yönetilen kurumların halka açık kurumlardan, olgun kurumların yeni girişimci kurumlardan farklıdır. Öngörü etkenleri ise yönetime güven eksikliği ya da liderlik değişiklikleri gibi etkenlerle birlikte, yeni BT sistemleri, yeni politikalar ya da işi etkileyen mevzuat değişiklikleri gibi planlanan olaylardır; bunlar öngörüldüğünde önleyici eylem planlanabilir.</w:t>
      </w:r>
    </w:p>
    <w:p>
      <w:pPr>
        <w:spacing w:after="140" w:line="288"/>
        <w:jc w:val="left"/>
      </w:pPr>
      <w:r>
        <w:rPr>
          <w:rFonts w:ascii="Calibri" w:cs="Calibri" w:eastAsia="Calibri" w:hAnsi="Calibri"/>
          <w:sz w:val="22"/>
          <w:szCs w:val="22"/>
        </w:rPr>
        <w:t xml:space="preserve">Tutma için dış bağlam etkenleri sanayi türü (yeni ortaya çıkan, istikrarlı ya da gerileyen), sektör (özellikle kritik becerileri tutmaya odaklanırken), yerel istihdam durumu, genel ekonomik koşullar ve işverenin pazardaki itibarıdır. İç etkenler ise normal tutmanın stratejik düzeyleri, sektör normuna göre ücret aralığı, kurumun istikrarı ve işgücünün ortalama kıdemi ya da yaşıdır. Sektör kıyaslaması ve işveren kuruluşları ile ticaret gruplarından edinilen bilgiler, tutmanın kabul edilebilir olduğu aralıkları belirlemeye yardım eder.</w:t>
      </w:r>
    </w:p>
    <w:p>
      <w:pPr>
        <w:pStyle w:val="Heading3"/>
        <w:keepNext/>
        <w:spacing w:after="80" w:before="220"/>
      </w:pPr>
      <w:r>
        <w:rPr>
          <w:rFonts w:ascii="Calibri" w:cs="Calibri" w:eastAsia="Calibri" w:hAnsi="Calibri"/>
          <w:b/>
          <w:bCs/>
          <w:color w:val="0B5C8A"/>
          <w:sz w:val="23"/>
          <w:szCs w:val="23"/>
        </w:rPr>
        <w:t xml:space="preserve">Kurgusal vaka: Değerler yüksek, davranış düşük</w:t>
      </w:r>
    </w:p>
    <w:p>
      <w:pPr>
        <w:spacing w:after="140" w:line="288"/>
        <w:jc w:val="left"/>
      </w:pPr>
      <w:r>
        <w:rPr>
          <w:rFonts w:ascii="Calibri" w:cs="Calibri" w:eastAsia="Calibri" w:hAnsi="Calibri"/>
          <w:sz w:val="22"/>
          <w:szCs w:val="22"/>
        </w:rPr>
        <w:t xml:space="preserve">Anadolu Örnek A.Ş.’nin lojistik biriminde 25 ifadelik anketin değer ifadesi (3. ifade) 4,3 ile yüksek, liderlik hizalaması ise 2,9 ile düşüktür. Başka bir ifadeyle çalışanlar şirketin değerlerini biliyor ve benimsiyor; ama yöneticilerinin bu değerlere uygun davrandığına inanmıyor. Bu, şartnamenin tarif ettiği klasik “beyan edilen ile gerçek davranış arasındaki boşluk” tablosudur. Amir güveni (ifade 20) 3,4, üst yönetim güveni (ifade 21) ise 2,5’tir; yani sorun yalnızca doğrudan yöneticilerde değil, daha çok üst yönetime duyulan güvende yoğunlaşmaktadır. Aynı birimde bir ile iki yıl arasındaki gönüllü kayıplar da yılda %9’a çıkmıştır. İki bulgu birlikte okunduğunda, birimin yöneticilerine bir davranış eğitimi vermek yerine, üst yönetimin kararlarını ve gerekçelerini şeffaf biçimde paylaşmasını sağlayacak bir kent toplantısı düzeni kurmak ve kayıpların nedenini çıkış görüşmesi ile ayrılma sonrası anketle ayrıştırmak daha uygun görünür. Rakamlar kurgusaldır; mekanizma şartnameden gelir.</w:t>
      </w:r>
    </w:p>
    <w:p>
      <w:pPr>
        <w:pStyle w:val="Heading2"/>
        <w:keepNext/>
        <w:spacing w:after="110" w:before="320"/>
      </w:pPr>
      <w:r>
        <w:rPr>
          <w:rFonts w:ascii="Calibri" w:cs="Calibri" w:eastAsia="Calibri" w:hAnsi="Calibri"/>
          <w:b/>
          <w:bCs/>
          <w:sz w:val="27"/>
          <w:szCs w:val="27"/>
        </w:rPr>
        <w:t xml:space="preserve">Yorum, sınırlamalar ve raporlama</w:t>
      </w:r>
    </w:p>
    <w:p>
      <w:pPr>
        <w:pStyle w:val="ListParagraph"/>
        <w:numPr>
          <w:ilvl w:val="0"/>
          <w:numId w:val="2"/>
        </w:numPr>
        <w:spacing w:after="80" w:line="280"/>
      </w:pPr>
      <w:r>
        <w:rPr>
          <w:rFonts w:ascii="Calibri" w:cs="Calibri" w:eastAsia="Calibri" w:hAnsi="Calibri"/>
          <w:b/>
          <w:bCs/>
          <w:sz w:val="22"/>
          <w:szCs w:val="22"/>
        </w:rPr>
        <w:t xml:space="preserve">Genel endeks yüksek ama bazı boyutlar düşükse ortalama yanıltır.</w:t>
      </w:r>
      <w:r>
        <w:rPr>
          <w:rFonts w:ascii="Calibri" w:cs="Calibri" w:eastAsia="Calibri" w:hAnsi="Calibri"/>
          <w:sz w:val="22"/>
          <w:szCs w:val="22"/>
        </w:rPr>
        <w:t xml:space="preserve"> Beş yönü ayrı okuyun.</w:t>
      </w:r>
    </w:p>
    <w:p>
      <w:pPr>
        <w:pStyle w:val="ListParagraph"/>
        <w:numPr>
          <w:ilvl w:val="0"/>
          <w:numId w:val="2"/>
        </w:numPr>
        <w:spacing w:after="80" w:line="280"/>
      </w:pPr>
      <w:r>
        <w:rPr>
          <w:rFonts w:ascii="Calibri" w:cs="Calibri" w:eastAsia="Calibri" w:hAnsi="Calibri"/>
          <w:b/>
          <w:bCs/>
          <w:sz w:val="22"/>
          <w:szCs w:val="22"/>
        </w:rPr>
        <w:t xml:space="preserve">Beyan edilen ve gerçek davranış arasında boşluk varsa</w:t>
      </w:r>
      <w:r>
        <w:rPr>
          <w:rFonts w:ascii="Calibri" w:cs="Calibri" w:eastAsia="Calibri" w:hAnsi="Calibri"/>
          <w:sz w:val="22"/>
          <w:szCs w:val="22"/>
        </w:rPr>
        <w:t xml:space="preserve"> (değer ifadeleri yüksek, liderlik hizalaması düşük) bağlılık ve güven düşer.</w:t>
      </w:r>
    </w:p>
    <w:p>
      <w:pPr>
        <w:pStyle w:val="ListParagraph"/>
        <w:numPr>
          <w:ilvl w:val="0"/>
          <w:numId w:val="2"/>
        </w:numPr>
        <w:spacing w:after="80" w:line="280"/>
      </w:pPr>
      <w:r>
        <w:rPr>
          <w:rFonts w:ascii="Calibri" w:cs="Calibri" w:eastAsia="Calibri" w:hAnsi="Calibri"/>
          <w:b/>
          <w:bCs/>
          <w:sz w:val="22"/>
          <w:szCs w:val="22"/>
        </w:rPr>
        <w:t xml:space="preserve">Düşük yanıt oranı sonucu temsil edilemez kılar.</w:t>
      </w:r>
      <w:r>
        <w:rPr>
          <w:rFonts w:ascii="Calibri" w:cs="Calibri" w:eastAsia="Calibri" w:hAnsi="Calibri"/>
          <w:sz w:val="22"/>
          <w:szCs w:val="22"/>
        </w:rPr>
        <w:t xml:space="preserve"> Yanıtlamayanların hangi bölümde yoğunlaştığına bakın.</w:t>
      </w:r>
    </w:p>
    <w:p>
      <w:pPr>
        <w:pStyle w:val="ListParagraph"/>
        <w:numPr>
          <w:ilvl w:val="0"/>
          <w:numId w:val="2"/>
        </w:numPr>
        <w:spacing w:after="80" w:line="280"/>
      </w:pPr>
      <w:r>
        <w:rPr>
          <w:rFonts w:ascii="Calibri" w:cs="Calibri" w:eastAsia="Calibri" w:hAnsi="Calibri"/>
          <w:b/>
          <w:bCs/>
          <w:sz w:val="22"/>
          <w:szCs w:val="22"/>
        </w:rPr>
        <w:t xml:space="preserve">Bölgeler arası fark büyükse toplam ortalama ayrımı gizler.</w:t>
      </w:r>
      <w:r>
        <w:rPr>
          <w:rFonts w:ascii="Calibri" w:cs="Calibri" w:eastAsia="Calibri" w:hAnsi="Calibri"/>
          <w:sz w:val="22"/>
          <w:szCs w:val="22"/>
        </w:rPr>
        <w:t xml:space="preserve"> Basit ve ağırlıklı ortalama arasındaki fark bunu gösterir.</w:t>
      </w:r>
    </w:p>
    <w:p>
      <w:pPr>
        <w:pStyle w:val="ListParagraph"/>
        <w:numPr>
          <w:ilvl w:val="0"/>
          <w:numId w:val="2"/>
        </w:numPr>
        <w:spacing w:after="80" w:line="280"/>
      </w:pPr>
      <w:r>
        <w:rPr>
          <w:rFonts w:ascii="Calibri" w:cs="Calibri" w:eastAsia="Calibri" w:hAnsi="Calibri"/>
          <w:b/>
          <w:bCs/>
          <w:sz w:val="22"/>
          <w:szCs w:val="22"/>
        </w:rPr>
        <w:t xml:space="preserve">Kayıplar olumlu da olabilir.</w:t>
      </w:r>
      <w:r>
        <w:rPr>
          <w:rFonts w:ascii="Calibri" w:cs="Calibri" w:eastAsia="Calibri" w:hAnsi="Calibri"/>
          <w:sz w:val="22"/>
          <w:szCs w:val="22"/>
        </w:rPr>
        <w:t xml:space="preserve"> İç terfi ve emeklilik, kültür sorununa işaret etmez.</w:t>
      </w:r>
    </w:p>
    <w:p>
      <w:pPr>
        <w:pStyle w:val="ListParagraph"/>
        <w:numPr>
          <w:ilvl w:val="0"/>
          <w:numId w:val="2"/>
        </w:numPr>
        <w:spacing w:after="80" w:line="280"/>
      </w:pPr>
      <w:r>
        <w:rPr>
          <w:rFonts w:ascii="Calibri" w:cs="Calibri" w:eastAsia="Calibri" w:hAnsi="Calibri"/>
          <w:b/>
          <w:bCs/>
          <w:sz w:val="22"/>
          <w:szCs w:val="22"/>
        </w:rPr>
        <w:t xml:space="preserve">Bağlama bakmadan sonucu kötü ya da iyi ilan etmeyin.</w:t>
      </w:r>
      <w:r>
        <w:rPr>
          <w:rFonts w:ascii="Calibri" w:cs="Calibri" w:eastAsia="Calibri" w:hAnsi="Calibri"/>
          <w:sz w:val="22"/>
          <w:szCs w:val="22"/>
        </w:rPr>
        <w:t xml:space="preserve"> Birleşme, yönetim değişikliği ya da ekonomik daralma bağlılığı etkiler.</w:t>
      </w:r>
    </w:p>
    <w:p>
      <w:pPr>
        <w:spacing w:after="140" w:line="288"/>
        <w:jc w:val="left"/>
      </w:pPr>
      <w:r>
        <w:rPr>
          <w:rFonts w:ascii="Calibri" w:cs="Calibri" w:eastAsia="Calibri" w:hAnsi="Calibri"/>
          <w:sz w:val="22"/>
          <w:szCs w:val="22"/>
        </w:rPr>
        <w:t xml:space="preserve">Şartname 25 ifadelik anketin geliştiricilere kendi ifadelerini oluşturmada geniş serbestlik bıraktığını belirtir; ancak kültürün mevcut durumunu erken aşamalarda değerlendirirken ifadelerin beş yönü kapsaması önemlidir. Rehber sayfasındaki Türkçe ifade karşılıkları özgün çevirilerdir ve psikometrik geçerliliği sınanmış bir Türkçe form değildir; anketi kendi kurumunuza uyarlarken geçerliliği ayrıca sınayın. Standart, kültür ölçümünün öznel yönlerini de kabul eder: Sayı nedeni söylemez; kök neden için çalışanlarla görüşmek gerekir.</w:t>
      </w:r>
    </w:p>
    <w:p>
      <w:pPr>
        <w:spacing w:after="140" w:line="288"/>
        <w:jc w:val="left"/>
      </w:pPr>
      <w:r>
        <w:rPr>
          <w:rFonts w:ascii="Calibri" w:cs="Calibri" w:eastAsia="Calibri" w:hAnsi="Calibri"/>
          <w:sz w:val="22"/>
          <w:szCs w:val="22"/>
        </w:rPr>
        <w:t xml:space="preserve">Raporlamada İK ve kültür sorumluları ifade bazında puanları, boyut puanlarını, yanıt oranını, tutma kırılımlarını ve bağlam notlarını; üst yönetim genel endeksi ve eğilimi, en zayıf boyutu, en düşük iki ya da üç ifadeyi, tutma oranını ve bölge farklarını skor kartında görür. Dış paydaşlara karşılaştırılabilir kültür göstergesi ISO 30414 ile birlikte sunulur; yöntem dipnotu (basit ya da ağırlıklı ortalama, anket ölçeği, yanıt oranı) mutlaka yer almalıdır.</w:t>
      </w:r>
    </w:p>
    <w:p>
      <w:pPr>
        <w:pStyle w:val="Heading2"/>
        <w:keepNext/>
        <w:spacing w:after="110" w:before="320"/>
      </w:pPr>
      <w:r>
        <w:rPr>
          <w:rFonts w:ascii="Calibri" w:cs="Calibri" w:eastAsia="Calibri" w:hAnsi="Calibri"/>
          <w:b/>
          <w:bCs/>
          <w:sz w:val="27"/>
          <w:szCs w:val="27"/>
        </w:rPr>
        <w:t xml:space="preserve">Metrik seçim adımları</w:t>
      </w:r>
    </w:p>
    <w:p>
      <w:pPr>
        <w:pStyle w:val="ListParagraph"/>
        <w:numPr>
          <w:ilvl w:val="0"/>
          <w:numId w:val="4"/>
        </w:numPr>
        <w:spacing w:after="80" w:line="280"/>
      </w:pPr>
      <w:r>
        <w:rPr>
          <w:rFonts w:ascii="Calibri" w:cs="Calibri" w:eastAsia="Calibri" w:hAnsi="Calibri"/>
          <w:sz w:val="22"/>
          <w:szCs w:val="22"/>
        </w:rPr>
        <w:t xml:space="preserve">Kültürel olgunluk aşamanızı belirleyin: amaç ve değerleriniz tanımlı mı?</w:t>
      </w:r>
    </w:p>
    <w:p>
      <w:pPr>
        <w:pStyle w:val="ListParagraph"/>
        <w:numPr>
          <w:ilvl w:val="0"/>
          <w:numId w:val="4"/>
        </w:numPr>
        <w:spacing w:after="80" w:line="280"/>
      </w:pPr>
      <w:r>
        <w:rPr>
          <w:rFonts w:ascii="Calibri" w:cs="Calibri" w:eastAsia="Calibri" w:hAnsi="Calibri"/>
          <w:sz w:val="22"/>
          <w:szCs w:val="22"/>
        </w:rPr>
        <w:t xml:space="preserve">Aşama 1–2 için Ek A’daki temel anketi, aşama 3–4 için kurumunuza özgü soruları kullanın.</w:t>
      </w:r>
    </w:p>
    <w:p>
      <w:pPr>
        <w:pStyle w:val="ListParagraph"/>
        <w:numPr>
          <w:ilvl w:val="0"/>
          <w:numId w:val="4"/>
        </w:numPr>
        <w:spacing w:after="80" w:line="280"/>
      </w:pPr>
      <w:r>
        <w:rPr>
          <w:rFonts w:ascii="Calibri" w:cs="Calibri" w:eastAsia="Calibri" w:hAnsi="Calibri"/>
          <w:sz w:val="22"/>
          <w:szCs w:val="22"/>
        </w:rPr>
        <w:t xml:space="preserve">Anonimliği güvence altına alın ve çok ülkeli kurumlarda terminolojiyi eşitleyin.</w:t>
      </w:r>
    </w:p>
    <w:p>
      <w:pPr>
        <w:pStyle w:val="ListParagraph"/>
        <w:numPr>
          <w:ilvl w:val="0"/>
          <w:numId w:val="4"/>
        </w:numPr>
        <w:spacing w:after="80" w:line="280"/>
      </w:pPr>
      <w:r>
        <w:rPr>
          <w:rFonts w:ascii="Calibri" w:cs="Calibri" w:eastAsia="Calibri" w:hAnsi="Calibri"/>
          <w:sz w:val="22"/>
          <w:szCs w:val="22"/>
        </w:rPr>
        <w:t xml:space="preserve">Anketi beş yönde puanlayın ve en düşük iki ya da üç ifadeyi belirleyin.</w:t>
      </w:r>
    </w:p>
    <w:p>
      <w:pPr>
        <w:pStyle w:val="ListParagraph"/>
        <w:numPr>
          <w:ilvl w:val="0"/>
          <w:numId w:val="4"/>
        </w:numPr>
        <w:spacing w:after="80" w:line="280"/>
      </w:pPr>
      <w:r>
        <w:rPr>
          <w:rFonts w:ascii="Calibri" w:cs="Calibri" w:eastAsia="Calibri" w:hAnsi="Calibri"/>
          <w:sz w:val="22"/>
          <w:szCs w:val="22"/>
        </w:rPr>
        <w:t xml:space="preserve">Sonuçları odak grup ve çalışma gruplarıyla tartışın; eylem planı yazın.</w:t>
      </w:r>
    </w:p>
    <w:p>
      <w:pPr>
        <w:pStyle w:val="ListParagraph"/>
        <w:numPr>
          <w:ilvl w:val="0"/>
          <w:numId w:val="4"/>
        </w:numPr>
        <w:spacing w:after="80" w:line="280"/>
      </w:pPr>
      <w:r>
        <w:rPr>
          <w:rFonts w:ascii="Calibri" w:cs="Calibri" w:eastAsia="Calibri" w:hAnsi="Calibri"/>
          <w:sz w:val="22"/>
          <w:szCs w:val="22"/>
        </w:rPr>
        <w:t xml:space="preserve">Tutma oranını kayıp türlerine ve kırılımlara göre analiz edin.</w:t>
      </w:r>
    </w:p>
    <w:p>
      <w:pPr>
        <w:pStyle w:val="ListParagraph"/>
        <w:numPr>
          <w:ilvl w:val="0"/>
          <w:numId w:val="4"/>
        </w:numPr>
        <w:spacing w:after="80" w:line="280"/>
      </w:pPr>
      <w:r>
        <w:rPr>
          <w:rFonts w:ascii="Calibri" w:cs="Calibri" w:eastAsia="Calibri" w:hAnsi="Calibri"/>
          <w:sz w:val="22"/>
          <w:szCs w:val="22"/>
        </w:rPr>
        <w:t xml:space="preserve">Bağlam ve öngörü etkenlerini sayıyla birlikte raporlayın.</w:t>
      </w:r>
    </w:p>
    <w:p>
      <w:pPr>
        <w:pStyle w:val="Heading1"/>
        <w:keepNext/>
        <w:pageBreakBefore/>
        <w:spacing w:after="100" w:before="0"/>
      </w:pPr>
      <w:r>
        <w:rPr>
          <w:rFonts w:ascii="Calibri" w:cs="Calibri" w:eastAsia="Calibri" w:hAnsi="Calibri"/>
          <w:b/>
          <w:bCs/>
          <w:color w:val="0B5C8A"/>
          <w:sz w:val="34"/>
          <w:szCs w:val="34"/>
        </w:rPr>
        <w:t xml:space="preserve">5.3  Çeşitlilik ve Kapsayıcılık</w:t>
      </w:r>
    </w:p>
    <w:p>
      <w:pPr>
        <w:keepNext/>
        <w:pBdr>
          <w:bottom w:val="single" w:color="0B5C8A" w:sz="8" w:space="6"/>
        </w:pBdr>
        <w:spacing w:after="220"/>
      </w:pPr>
      <w:r>
        <w:rPr>
          <w:rFonts w:ascii="Calibri" w:cs="Calibri" w:eastAsia="Calibri" w:hAnsi="Calibri"/>
          <w:i/>
          <w:iCs/>
          <w:color w:val="59636F"/>
          <w:sz w:val="26"/>
          <w:szCs w:val="26"/>
        </w:rPr>
        <w:t xml:space="preserve">ISO 30415:2021 — Kurumlarda çeşitlilik ve kapsayıcılığı yerleştirmeye yönelik rehber.</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 30415, kurumlarda çeşitlilik ve kapsayıcılığı (Ç&amp;K) yerleştirmeye yönelik uluslararası bir rehberdir. ISO/TC 260 tarafından hazırlanmış ilk baskıdır ve Birleşik Krallık’ta BS 76005:2017’nin yerini alır. Giriş bölümüne göre kapsayıcı bir işyeri, kurumsal sistem, politika, süreç ve uygulamalardaki eşitsizlikleri ve kişilerin bilinçli ve bilinçsiz önyargılarını ve davranışlarını ele alan süregelen bir taahhüt gerektirir. Bu cümle, standardın felsefesini özetler: Çeşitlilik bir kampanya değil, süregelen bir yönetim konusudur.</w:t>
      </w:r>
    </w:p>
    <w:p>
      <w:pPr>
        <w:spacing w:after="140" w:line="288"/>
        <w:jc w:val="left"/>
      </w:pPr>
      <w:r>
        <w:rPr>
          <w:rFonts w:ascii="Calibri" w:cs="Calibri" w:eastAsia="Calibri" w:hAnsi="Calibri"/>
          <w:sz w:val="22"/>
          <w:szCs w:val="22"/>
        </w:rPr>
        <w:t xml:space="preserve">Standart; ön koşulları, hesap verebilirlik ve sorumlulukları, kapsayıcı kültürü ve bir Ç&amp;K çerçevesini, ardından İK yaşam döngüsünün dokuz aşamasını (işgücü planlaması, ücretlendirme, işe alım, işe başlama, öğrenme ve gelişim, performans yönetimi, yedekleme, hareketlilik, istihdamın sona ermesi), ürün ve hizmetleri, tedarik zincirini ve dış paydaşları kapsar. Her madde için eylemler, çeşitlilik boyutuna göre bölümlenerek analiz edilebilecek ölçü örnekleri ve olası çıktılar verir. Toplamda 177 eylem, 83 ölçü örneği ve 86 çıktı örneği vardır.</w:t>
      </w:r>
    </w:p>
    <w:p>
      <w:pPr>
        <w:spacing w:after="140" w:line="288"/>
        <w:jc w:val="left"/>
      </w:pPr>
      <w:r>
        <w:rPr>
          <w:rFonts w:ascii="Calibri" w:cs="Calibri" w:eastAsia="Calibri" w:hAnsi="Calibri"/>
          <w:sz w:val="22"/>
          <w:szCs w:val="22"/>
        </w:rPr>
        <w:t xml:space="preserve">Standart bir sertifikasyon şartnamesi ya da uygunluk sınavı değildir. Eylemler “yapmalı” kipindedir, ama her kurumun yaklaşımını kendi bağlamına göre belirlemesi beklenir. Sendika ya da iş konseyi ilişkilerinin özel yönlerini, ülkeye özgü uyumu, yasal gereklilikleri ve davaları ele almaz. Boyutlara göre analiz edilen kişisel veriler için yerel veri koruma mevzuatı ayrıca uygulanır.</w:t>
      </w:r>
    </w:p>
    <w:p>
      <w:pPr>
        <w:pStyle w:val="Heading2"/>
        <w:keepNext/>
        <w:spacing w:after="110" w:before="320"/>
      </w:pPr>
      <w:r>
        <w:rPr>
          <w:rFonts w:ascii="Calibri" w:cs="Calibri" w:eastAsia="Calibri" w:hAnsi="Calibri"/>
          <w:b/>
          <w:bCs/>
          <w:sz w:val="27"/>
          <w:szCs w:val="27"/>
        </w:rPr>
        <w:t xml:space="preserve">Çeşitlilik boyutları ve kesişimsellik</w:t>
      </w:r>
    </w:p>
    <w:p>
      <w:pPr>
        <w:spacing w:after="140" w:line="288"/>
        <w:jc w:val="left"/>
      </w:pPr>
      <w:r>
        <w:rPr>
          <w:rFonts w:ascii="Calibri" w:cs="Calibri" w:eastAsia="Calibri" w:hAnsi="Calibri"/>
          <w:sz w:val="22"/>
          <w:szCs w:val="22"/>
        </w:rPr>
        <w:t xml:space="preserve">Standart çeşitliliği, insanlar arasındaki farklılıkların ve benzerliklerin özellikleri olarak tanımlar. Boyutlar arasında yaş, engellilik, cinsiyet, cinsel yönelim, toplumsal cinsiyet kimliği, ırk, renk, uyruk, etnik ya da ulusal köken, din ya da inanç ve sosyo-ekonomik bağlam yer alır; bunların çoğu ülkelerde hukuki gerekliliklerle ilişkilidir. Boyutların kesişimi (kesişimsellik) de tanınmalıdır: Bir kadın çalışanın deneyimi ile engelli bir kadın çalışanın deneyimi aynı değildir. Bu nedenle standart, ölçülerin “bütünleşik ve çeşitlilik boyutuna göre bölümlenmiş” analiz edilmesini ister.</w:t>
      </w:r>
    </w:p>
    <w:p>
      <w:pPr>
        <w:spacing w:after="140" w:line="288"/>
        <w:jc w:val="left"/>
      </w:pPr>
      <w:r>
        <w:rPr>
          <w:rFonts w:ascii="Calibri" w:cs="Calibri" w:eastAsia="Calibri" w:hAnsi="Calibri"/>
          <w:sz w:val="22"/>
          <w:szCs w:val="22"/>
        </w:rPr>
        <w:t xml:space="preserve">Türkiye bağlamında bu boyutların hangilerinin hangi biçimde toplanabileceği, kişisel verilerin korunması mevzuatıyla sınırlıdır; bazı boyutlar (din, etnik köken) özel nitelikli kişisel veridir ve toplanmaları ağır koşullara bağlıdır. Standart bunu açıkça kapsam dışı bırakır ve yerel hukuka havale eder. Kurum bu durumda, gönüllü ve anonim anketler, toplulaştırılmış veriler ve çalışan görüşmeleri gibi yöntemlere başvurabilir; ama hiçbir durumda yasal sınırı aşmamalıdır.</w:t>
      </w:r>
    </w:p>
    <w:p>
      <w:pPr>
        <w:pStyle w:val="Heading2"/>
        <w:keepNext/>
        <w:spacing w:after="110" w:before="320"/>
      </w:pPr>
      <w:r>
        <w:rPr>
          <w:rFonts w:ascii="Calibri" w:cs="Calibri" w:eastAsia="Calibri" w:hAnsi="Calibri"/>
          <w:b/>
          <w:bCs/>
          <w:sz w:val="27"/>
          <w:szCs w:val="27"/>
        </w:rPr>
        <w:t xml:space="preserve">Altı ön koşul ve hesap verebilirlik zinciri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 koşul</w:t>
            </w:r>
          </w:p>
        </w:tc>
        <w:tc>
          <w:tcPr>
            <w:tcW w:type="dxa" w:w="6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Anlamı</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Çeşitliliği tanımak</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Çeşitliliğin kurumdaki mevcut durumunu ve değerini açıkça kabul etmek</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Etkin yönetmek</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Yönetişim ve süreçleri çeşitliliği destekleyecek biçimde kurmak</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Hesap verebilir davranmak</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Sonuçları paylaşmak ve sorumluluğu üstlenmek</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Kapsayıcı çalışmak</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Günlük uygulamalarda herkesi dahil eden bir çalışma biçimi</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Kapsayıcı iletişim kurmak</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Dil ve kanalları herkes için erişilebilir kılmak</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Savunuculuk yapmak</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 içinde ve dışında kapsayıcılığı desteklemek</w:t>
            </w:r>
          </w:p>
        </w:tc>
      </w:tr>
    </w:tbl>
    <w:p>
      <w:pPr>
        <w:spacing w:after="140"/>
      </w:pPr>
    </w:p>
    <w:p>
      <w:pPr>
        <w:spacing w:after="140" w:line="288"/>
        <w:jc w:val="left"/>
      </w:pPr>
      <w:r>
        <w:rPr>
          <w:rFonts w:ascii="Calibri" w:cs="Calibri" w:eastAsia="Calibri" w:hAnsi="Calibri"/>
          <w:sz w:val="22"/>
          <w:szCs w:val="22"/>
        </w:rPr>
        <w:t xml:space="preserve">Hesap verebilirlik zinciri üst yönetimden bireye uzanır. Yönetim organı ve üst yönetim ilke ve hedefleri belirler ve kaynak sağlar. Liderler çerçeveyi kurar. İşlevsel alanların yöneticileri sorumluluğu devralır. Herkesin bireysel sorumluluğu vardır. Yıllık raporda Ç&amp;K fırsat ve riskleri ile ilerleme, kanıt ve iş gücü demografik verisiyle anlatılmalıdır. Bu, Kısım 1’de anlatılan yönetişim yaklaşımıyla birebir örtüşür: Çeşitlilik bir İK programı değil, bir yönetim kurulu gündemidir.</w:t>
      </w:r>
    </w:p>
    <w:p>
      <w:pPr>
        <w:pStyle w:val="Heading2"/>
        <w:keepNext/>
        <w:spacing w:after="110" w:before="320"/>
      </w:pPr>
      <w:r>
        <w:rPr>
          <w:rFonts w:ascii="Calibri" w:cs="Calibri" w:eastAsia="Calibri" w:hAnsi="Calibri"/>
          <w:b/>
          <w:bCs/>
          <w:sz w:val="27"/>
          <w:szCs w:val="27"/>
        </w:rPr>
        <w:t xml:space="preserve">İK yaşam döngüsünün dokuz aşaması</w:t>
      </w:r>
    </w:p>
    <w:p>
      <w:pPr>
        <w:spacing w:after="140" w:line="288"/>
        <w:jc w:val="left"/>
      </w:pPr>
      <w:r>
        <w:rPr>
          <w:rFonts w:ascii="Calibri" w:cs="Calibri" w:eastAsia="Calibri" w:hAnsi="Calibri"/>
          <w:sz w:val="22"/>
          <w:szCs w:val="22"/>
        </w:rPr>
        <w:t xml:space="preserve">Standardın en yoğun bölümü, İK yaşam döngüsünün her aşaması için eylem, ölçü ve çıktı örneklerini sunar. Bu bölümün değeri, Kısım 2, 3 ve 4’te anlatılan süreçleri kapsayıcılık gözlüğüyle yeniden okumaktır.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938"/>
        <w:gridCol w:w="1200"/>
        <w:gridCol w:w="1300"/>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Aşama</w:t>
            </w:r>
          </w:p>
        </w:tc>
        <w:tc>
          <w:tcPr>
            <w:tcW w:type="dxa" w:w="3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Odak</w:t>
            </w:r>
          </w:p>
        </w:tc>
        <w:tc>
          <w:tcPr>
            <w:tcW w:type="dxa" w:w="1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Eylem</w:t>
            </w:r>
          </w:p>
        </w:tc>
        <w:tc>
          <w:tcPr>
            <w:tcW w:type="dxa" w:w="1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Ölçü</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8.2</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planlaması</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Planda Ç&amp;K, demografik karşılaştırma, az temsil</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8.3</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Ücretlendirme</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Eşit değerde iş için eşit ücret, anomali ve farklar</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8.4</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Çeşitli kanallar, önyargısız araçlar, aşama verisi, uyumlaştırma</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14</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8.5</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başlama</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Yapılandırılmış süreç, uyumlaştırma, destek kaynakları, ilk 6 ay</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8.6</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Öğrenme ve gelişim</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Erişilebilir öğrenme, kapsayıcı içerik, lider gelişimi</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8.7</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Performans yönetimi</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Önyargısız ölçütler, yapıcı geri bildirim, derecelendirici önyargısı</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8.8</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Yedekleme planlaması</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Çeşitli yedek havuzu, erişim, mentorluk</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8.9</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hareketliliği</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Geçici görev, yer değiştirme, uzaktan alternatifler</w:t>
            </w:r>
          </w:p>
        </w:tc>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8.10</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İstihdamın sona ermesi</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Yapılandırılmış, tarafsız, saygılı süreç; ayrımcı olmayan ölçütler</w:t>
            </w:r>
          </w:p>
        </w:tc>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r>
    </w:tbl>
    <w:p>
      <w:pPr>
        <w:spacing w:after="140"/>
      </w:pPr>
    </w:p>
    <w:p>
      <w:pPr>
        <w:spacing w:after="140" w:line="288"/>
        <w:jc w:val="left"/>
      </w:pPr>
      <w:r>
        <w:rPr>
          <w:rFonts w:ascii="Calibri" w:cs="Calibri" w:eastAsia="Calibri" w:hAnsi="Calibri"/>
          <w:sz w:val="22"/>
          <w:szCs w:val="22"/>
        </w:rPr>
        <w:t xml:space="preserve">Bu tablodaki bağlantılar somut bir yol haritası çizer. İşe alımda (8.4) en çok eylem bulunması (14), süreçte önyargının en çok yer aldığı noktanın işe alım olduğunu yansıtır; bu, Kısım 3’te ISO 30405’in yapay zekâ ve değerlendirme önerileriyle doğrudan örtüşür. Ücretlendirmede “eşit değerde iş için eşit ücret” ilkesi, ücret farklarının iş aileleri, konumlar ve ücret yapıları içinde ve arasında incelenmesini gerektirir. Yedekleme planlamasında çeşitli bir yedek havuzu, Kısım 2’deki ISO/TS 30433 metriklerinin kapsayıcılık boyutuyla okunması demektir. Performans yönetiminde derecelendirici önyargısı, Kısım 3’te ele alınan işe alım kalitesi puanlarındaki “cömert ya da katı yönetici” sorununun benzeridir.</w:t>
      </w:r>
    </w:p>
    <w:p>
      <w:pPr>
        <w:spacing w:after="140" w:line="288"/>
        <w:jc w:val="left"/>
      </w:pPr>
      <w:r>
        <w:rPr>
          <w:rFonts w:ascii="Calibri" w:cs="Calibri" w:eastAsia="Calibri" w:hAnsi="Calibri"/>
          <w:sz w:val="22"/>
          <w:szCs w:val="22"/>
        </w:rPr>
        <w:t xml:space="preserve">Teknoloji ve önyargı özel bir başlıktır. Algoritmalar, makine öğrenmesi ve otomatik İK sistemleri önyargı riski taşır; işe alımdan sona erişe kadar kararlar denetim ve denge mekanizmalarıyla desteklenmelidir (5.4, 8.1, 8.4). Standart ayrıca kapsayıcılığı yalnızca İK’nın konusu olarak görmez; ürün ve hizmetlerin kapsayıcı tasarımını (madde 9), tedarikçi çeşitliliği ve tedarik zincirinde insana yakışır işi (madde 10) ve dış paydaşlarla ilişkileri (madde 11) de kapsar.</w:t>
      </w:r>
    </w:p>
    <w:p>
      <w:pPr>
        <w:pStyle w:val="Heading2"/>
        <w:keepNext/>
        <w:spacing w:after="110" w:before="320"/>
      </w:pPr>
      <w:r>
        <w:rPr>
          <w:rFonts w:ascii="Calibri" w:cs="Calibri" w:eastAsia="Calibri" w:hAnsi="Calibri"/>
          <w:b/>
          <w:bCs/>
          <w:sz w:val="27"/>
          <w:szCs w:val="27"/>
        </w:rPr>
        <w:t xml:space="preserve">Ölçü örnekleri ve türetilmiş formüller</w:t>
      </w:r>
    </w:p>
    <w:p>
      <w:pPr>
        <w:spacing w:after="140" w:line="288"/>
        <w:jc w:val="left"/>
      </w:pPr>
      <w:r>
        <w:rPr>
          <w:rFonts w:ascii="Calibri" w:cs="Calibri" w:eastAsia="Calibri" w:hAnsi="Calibri"/>
          <w:sz w:val="22"/>
          <w:szCs w:val="22"/>
        </w:rPr>
        <w:t xml:space="preserve">Standart hiçbir formül, ölçek ya da birim vermez; her madde için ölçü örnekleri sıralar ve bunların çeşitlilik boyutuna göre analiz edilmesini ister. Rehber sayfası bu örnekleri sayıya dökmek için dört temel hesabı türetir; hepsi “türetilmiş” olarak işaretlenmiştir.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3138"/>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4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3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Okuma</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Temsil endeksi</w:t>
            </w:r>
          </w:p>
        </w:tc>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(Grubun işgücü payı ÷ referans nüfus payı) × 100</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 eşit temsil; altı az temsil</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Aşama geçiş (etki) oranı</w:t>
            </w:r>
          </w:p>
        </w:tc>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Grubun geçiş oranı ÷ referans grubun geçiş oranı</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süreç aşamasının gruplar üzerindeki orantısız etkisi için tarama göstergesi</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Ücret farkı</w:t>
            </w:r>
          </w:p>
        </w:tc>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(Referans ortalama − grup ortalama) ÷ referans ortalama × 100</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ailesi ve düzey içinde okunur</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Ayrılma oranı</w:t>
            </w:r>
          </w:p>
        </w:tc>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Ayrılan ÷ ortalama kadro × 100</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Gruba göre bölümlenir</w:t>
            </w:r>
          </w:p>
        </w:tc>
      </w:tr>
    </w:tbl>
    <w:p>
      <w:pPr>
        <w:spacing w:after="140"/>
      </w:pPr>
    </w:p>
    <w:p>
      <w:pPr>
        <w:pStyle w:val="Heading3"/>
        <w:keepNext/>
        <w:spacing w:after="80" w:before="220"/>
      </w:pPr>
      <w:r>
        <w:rPr>
          <w:rFonts w:ascii="Calibri" w:cs="Calibri" w:eastAsia="Calibri" w:hAnsi="Calibri"/>
          <w:b/>
          <w:bCs/>
          <w:color w:val="0B5C8A"/>
          <w:sz w:val="23"/>
          <w:szCs w:val="23"/>
        </w:rPr>
        <w:t xml:space="preserve">Kurgusal örnek: Kadın temsili, işe alım geçişi ve ücret farkı</w:t>
      </w:r>
    </w:p>
    <w:p>
      <w:pPr>
        <w:spacing w:after="140" w:line="288"/>
        <w:jc w:val="left"/>
      </w:pPr>
      <w:r>
        <w:rPr>
          <w:rFonts w:ascii="Calibri" w:cs="Calibri" w:eastAsia="Calibri" w:hAnsi="Calibri"/>
          <w:sz w:val="22"/>
          <w:szCs w:val="22"/>
        </w:rPr>
        <w:t xml:space="preserve">Anadolu Örnek A.Ş.’nin 1.200 çalışanı vardır; bunların 420’si kadındır (%35). Şirketin faaliyet gösterdiği bölgedeki ilgili sektörde kadın işgücü payı %46’dır; bu değer referans nüfus payı olarak alınmıştır. Yönetici kadrosunda 240 kişiden 60’ı kadındır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3400"/>
        <w:gridCol w:w="2338"/>
      </w:tblGrid>
      <w:tr>
        <w:trPr>
          <w:cantSplit/>
          <w:tblHeader/>
        </w:trPr>
        <w:tc>
          <w:tcPr>
            <w:tcW w:type="dxa" w:w="3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Gösterge</w:t>
            </w:r>
          </w:p>
        </w:tc>
        <w:tc>
          <w:tcPr>
            <w:tcW w:type="dxa" w:w="3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2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Sonuç</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Genel temsil endeksi (kadın)</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35 ÷ 46 × 100</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76,1</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Yönetici düzeyinde temsil endeksi</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25 ÷ 46 × 100</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54,3</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İşe alım aşama geçişi: kadın</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 ÷ 400</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%5,0</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İşe alım aşama geçişi: erkek</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45 ÷ 600</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Etki oranı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5,0 ÷ 7,5</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0,67</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Ücret farkı (ortalama 62.000 TL; kadın 58.280 TL)</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(62.000 − 58.280) ÷ 62.000 × 100</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%6,0</w:t>
            </w:r>
          </w:p>
        </w:tc>
      </w:tr>
    </w:tbl>
    <w:p>
      <w:pPr>
        <w:spacing w:after="140"/>
      </w:pPr>
    </w:p>
    <w:p>
      <w:pPr>
        <w:spacing w:after="140" w:line="288"/>
        <w:jc w:val="left"/>
      </w:pPr>
      <w:r>
        <w:rPr>
          <w:rFonts w:ascii="Calibri" w:cs="Calibri" w:eastAsia="Calibri" w:hAnsi="Calibri"/>
          <w:sz w:val="22"/>
          <w:szCs w:val="22"/>
        </w:rPr>
        <w:t xml:space="preserve">Tablo üç ayrı sinyal verir. Temsil endeksi 76,1’dir; yönetici düzeyinde ise 54,3’e düşer; yani sorun yalnızca toplam sayıda değil, kıdem arttıkça açılan bir makastadır. Standart da bu noktaya değinir: Asıl önemli olan, seviyelere (kıdem, yönetim, yönetişim organı) göre de bakmaktır. İşe alım aşamasında kadın adayların teklif aşamasına geçişi %5’tir, erkeklerin %7,5’i; etki oranı 0,67’dir. Bazı ülkelerde 0,8 (dörtte beş) eşiği kullanılır; ancak bu eşik standarttan gelmez, hukuki sonuç ülkeden ülkeye değişir ve oran tek başına ayrımcılığın kanıtı değil, aşamadaki ölçütlerin ve otomatik sistemlerin gözden geçirilmesi için bir işarettir. Küçük örneklemlerde tesadüfi dalgalanma olabileceği de unutulmamalıdır.</w:t>
      </w:r>
    </w:p>
    <w:p>
      <w:pPr>
        <w:spacing w:after="140" w:line="288"/>
        <w:jc w:val="left"/>
      </w:pPr>
      <w:r>
        <w:rPr>
          <w:rFonts w:ascii="Calibri" w:cs="Calibri" w:eastAsia="Calibri" w:hAnsi="Calibri"/>
          <w:sz w:val="22"/>
          <w:szCs w:val="22"/>
        </w:rPr>
        <w:t xml:space="preserve">Ücret farkı %6,0’dır; ama bu ortalama bir farktır ve iş içeriği, kıdem, kademe ve konumdan etkilenir. Standart farkları iş aileleri, konumlar ve ücret yapıları içinde ve arasında incelemeyi söyler. Açıklanamayan farklar, “eşit değerde iş için eşit ücret” ilkesi açısından ele alınır. Burada kritik bir adım, ortalama farkı iş ailesi ve düzey bazında ayrıştırmaktır: Eğer fark kadınların düşük ücretli iş ailelerinde yoğunlaşmasından kaynaklanıyorsa sorun ücretlendirme değil, işe alım ve yedekleme kanallarındadır; fark aynı iş ailesi ve düzeyde ortaya çıkıyorsa sorun doğrudan ücret kararlarındadır.</w:t>
      </w:r>
    </w:p>
    <w:p>
      <w:pPr>
        <w:pStyle w:val="Heading3"/>
        <w:keepNext/>
        <w:spacing w:after="80" w:before="220"/>
      </w:pPr>
      <w:r>
        <w:rPr>
          <w:rFonts w:ascii="Calibri" w:cs="Calibri" w:eastAsia="Calibri" w:hAnsi="Calibri"/>
          <w:b/>
          <w:bCs/>
          <w:color w:val="0B5C8A"/>
          <w:sz w:val="23"/>
          <w:szCs w:val="23"/>
        </w:rPr>
        <w:t xml:space="preserve">Kurgusal vaka: Kıdemle açılan makas</w:t>
      </w:r>
    </w:p>
    <w:p>
      <w:pPr>
        <w:spacing w:after="140" w:line="288"/>
        <w:jc w:val="left"/>
      </w:pPr>
      <w:r>
        <w:rPr>
          <w:rFonts w:ascii="Calibri" w:cs="Calibri" w:eastAsia="Calibri" w:hAnsi="Calibri"/>
          <w:sz w:val="22"/>
          <w:szCs w:val="22"/>
        </w:rPr>
        <w:t xml:space="preserve">Anadolu Örnek A.Ş.’de kadınların işe alım hunisindeki payı %40, genel işgücündeki payı %35, yönetici kadrosundaki payı %25’tir. Standardın hayat döngüsü yaklaşımı bu üç sayıyı bir hikâyeye çevirir: Kadınlar işe alımda makul temsil edilmekte, ama yükselme ve yedekleme aşamalarında daralmaktadır. Yedekleme planlamasında (Kısım 2.4) kadın adayların yedek havuzundaki payı %18’dir. Performans yönetiminde kadınların ortalama puanı erkeklerden 0,2 puan düşüktür; derecelendirici önyargısı şüphesi oluşmuştur. Şirket, yönetici gözetiminde yapılan kalibrasyon oturumlarını başlatır, yedek havuzu için aday belirleme ölçütlerini yazılı hâle getirir ve terfi kararlarında ikinci bir gözden geçirme zorunlu kılar. Kurum bu ölçülerin etkisini 18 ay sonra yeniden hesaplamayı planlar. Bu vaka kurgusaldır; ancak standardın “yaşam döngüsü boyunca bütünleşik ve bölümlenmiş analiz” ilkesinin işleyişini gösterir.</w:t>
      </w:r>
    </w:p>
    <w:p>
      <w:pPr>
        <w:pStyle w:val="Heading2"/>
        <w:keepNext/>
        <w:spacing w:after="110" w:before="320"/>
      </w:pPr>
      <w:r>
        <w:rPr>
          <w:rFonts w:ascii="Calibri" w:cs="Calibri" w:eastAsia="Calibri" w:hAnsi="Calibri"/>
          <w:b/>
          <w:bCs/>
          <w:sz w:val="27"/>
          <w:szCs w:val="27"/>
        </w:rPr>
        <w:t xml:space="preserve">Ek A: Öz değerlendirme ve kapsama</w:t>
      </w:r>
    </w:p>
    <w:p>
      <w:pPr>
        <w:spacing w:after="140" w:line="288"/>
        <w:jc w:val="left"/>
      </w:pPr>
      <w:r>
        <w:rPr>
          <w:rFonts w:ascii="Calibri" w:cs="Calibri" w:eastAsia="Calibri" w:hAnsi="Calibri"/>
          <w:sz w:val="22"/>
          <w:szCs w:val="22"/>
        </w:rPr>
        <w:t xml:space="preserve">Ek A, 5–11. maddelerin 177 eylemini bir öz değerlendirme listesi olarak derler; her eylem için “destekleyici kanıt” istenir. Rehber sayfasındaki kapsama puanı türetilmiştir: (uygulanan + 0,5 × kısmen) ÷ toplam × 100. Kurgusal şirketimizde 177 eylemin 90’ı uygulanıyor, 50’si kısmen uygulanıyor, 37’si uygulanmıyor olsun. Kapsama = (90 + 25) ÷ 177 × 100 = %65,0’dır. Hedef kapsama %70 ise şirket hedefin beş puan altındadır. Ancak kapsama yüzdesi kanıtın yerine geçmez; hedefin altındaki maddelerde eksik eylemleri belirleyip boşluk kapatma stratejisi yazmak gerekir.</w:t>
      </w:r>
    </w:p>
    <w:p>
      <w:pPr>
        <w:pStyle w:val="Heading2"/>
        <w:keepNext/>
        <w:spacing w:after="110" w:before="320"/>
      </w:pPr>
      <w:r>
        <w:rPr>
          <w:rFonts w:ascii="Calibri" w:cs="Calibri" w:eastAsia="Calibri" w:hAnsi="Calibri"/>
          <w:b/>
          <w:bCs/>
          <w:sz w:val="27"/>
          <w:szCs w:val="27"/>
        </w:rPr>
        <w:t xml:space="preserve">Tedarik zinciri ve dış paydaşlar</w:t>
      </w:r>
    </w:p>
    <w:p>
      <w:pPr>
        <w:spacing w:after="140" w:line="288"/>
        <w:jc w:val="left"/>
      </w:pPr>
      <w:r>
        <w:rPr>
          <w:rFonts w:ascii="Calibri" w:cs="Calibri" w:eastAsia="Calibri" w:hAnsi="Calibri"/>
          <w:sz w:val="22"/>
          <w:szCs w:val="22"/>
        </w:rPr>
        <w:t xml:space="preserve">ISO 30415’in İK ile sınırlı olmayan yönü, kapsayıcılığı kurumun tedarik zincirine ve dış ilişkilerine yaymasıdır. Ürün ve hizmetlerde (madde 9) kapsayıcı tasarım, pazarlama dilinin dışlayıcı olmaması ve müşteri geri bildiriminin çeşitli gruplardan alınması istenir. Tedarikte (madde 10) tedarikçi çeşitliliği, sözleşme maddelerinde insana yakışır iş ve kapsayıcılık beklentileri ve izleme önerilir. Dış paydaş ilişkilerinde (madde 11) yatırımcılar, topluluklar, eğitim kurumları, düzenleyiciler ve savunuculuk grupları için ihtiyaç ve güç analizi yapılır. Bu maddeler, Kısım 1’deki insan yönetişimi ve ISO 30414’ün dış raporlama yaklaşımıyla birlikte düşünüldüğünde, çeşitliliğin bir iç İK konusu olmaktan çıkıp kurumsal sürdürülebilirlik konusuna dönüştüğünü gösterir.</w:t>
      </w:r>
    </w:p>
    <w:p>
      <w:pPr>
        <w:pStyle w:val="Heading2"/>
        <w:keepNext/>
        <w:spacing w:after="110" w:before="320"/>
      </w:pPr>
      <w:r>
        <w:rPr>
          <w:rFonts w:ascii="Calibri" w:cs="Calibri" w:eastAsia="Calibri" w:hAnsi="Calibri"/>
          <w:b/>
          <w:bCs/>
          <w:sz w:val="27"/>
          <w:szCs w:val="27"/>
        </w:rPr>
        <w:t xml:space="preserve">Yorum, sınırlamalar ve raporlama</w:t>
      </w:r>
    </w:p>
    <w:p>
      <w:pPr>
        <w:pStyle w:val="ListParagraph"/>
        <w:numPr>
          <w:ilvl w:val="0"/>
          <w:numId w:val="2"/>
        </w:numPr>
        <w:spacing w:after="80" w:line="280"/>
      </w:pPr>
      <w:r>
        <w:rPr>
          <w:rFonts w:ascii="Calibri" w:cs="Calibri" w:eastAsia="Calibri" w:hAnsi="Calibri"/>
          <w:b/>
          <w:bCs/>
          <w:sz w:val="22"/>
          <w:szCs w:val="22"/>
        </w:rPr>
        <w:t xml:space="preserve">Bölümlenmiş okuyun.</w:t>
      </w:r>
      <w:r>
        <w:rPr>
          <w:rFonts w:ascii="Calibri" w:cs="Calibri" w:eastAsia="Calibri" w:hAnsi="Calibri"/>
          <w:sz w:val="22"/>
          <w:szCs w:val="22"/>
        </w:rPr>
        <w:t xml:space="preserve"> Bütünleşik bir oran farkları gizler; ancak boyutlara göre bölümleme küçük gruplarda kişileri ele verebilir. Asgari raporlama büyüklüğü belirleyin ve veri koruma mevzuatına uyun.</w:t>
      </w:r>
    </w:p>
    <w:p>
      <w:pPr>
        <w:pStyle w:val="ListParagraph"/>
        <w:numPr>
          <w:ilvl w:val="0"/>
          <w:numId w:val="2"/>
        </w:numPr>
        <w:spacing w:after="80" w:line="280"/>
      </w:pPr>
      <w:r>
        <w:rPr>
          <w:rFonts w:ascii="Calibri" w:cs="Calibri" w:eastAsia="Calibri" w:hAnsi="Calibri"/>
          <w:b/>
          <w:bCs/>
          <w:sz w:val="22"/>
          <w:szCs w:val="22"/>
        </w:rPr>
        <w:t xml:space="preserve">Temsil endeksi tek başına hedef değildir.</w:t>
      </w:r>
      <w:r>
        <w:rPr>
          <w:rFonts w:ascii="Calibri" w:cs="Calibri" w:eastAsia="Calibri" w:hAnsi="Calibri"/>
          <w:sz w:val="22"/>
          <w:szCs w:val="22"/>
        </w:rPr>
        <w:t xml:space="preserve"> Düzeylere (kıdem, yönetim, yönetişim organı) göre de bakın.</w:t>
      </w:r>
    </w:p>
    <w:p>
      <w:pPr>
        <w:pStyle w:val="ListParagraph"/>
        <w:numPr>
          <w:ilvl w:val="0"/>
          <w:numId w:val="2"/>
        </w:numPr>
        <w:spacing w:after="80" w:line="280"/>
      </w:pPr>
      <w:r>
        <w:rPr>
          <w:rFonts w:ascii="Calibri" w:cs="Calibri" w:eastAsia="Calibri" w:hAnsi="Calibri"/>
          <w:b/>
          <w:bCs/>
          <w:sz w:val="22"/>
          <w:szCs w:val="22"/>
        </w:rPr>
        <w:t xml:space="preserve">Şikâyet sayısı iki yönlü okunur.</w:t>
      </w:r>
      <w:r>
        <w:rPr>
          <w:rFonts w:ascii="Calibri" w:cs="Calibri" w:eastAsia="Calibri" w:hAnsi="Calibri"/>
          <w:sz w:val="22"/>
          <w:szCs w:val="22"/>
        </w:rPr>
        <w:t xml:space="preserve"> Düşük sayı hem sorunun azlığını hem de bildirim eksikliğini gösterebilir; yüksek sayı güvenin arttığını da gösterebilir.</w:t>
      </w:r>
    </w:p>
    <w:p>
      <w:pPr>
        <w:pStyle w:val="ListParagraph"/>
        <w:numPr>
          <w:ilvl w:val="0"/>
          <w:numId w:val="2"/>
        </w:numPr>
        <w:spacing w:after="80" w:line="280"/>
      </w:pPr>
      <w:r>
        <w:rPr>
          <w:rFonts w:ascii="Calibri" w:cs="Calibri" w:eastAsia="Calibri" w:hAnsi="Calibri"/>
          <w:b/>
          <w:bCs/>
          <w:sz w:val="22"/>
          <w:szCs w:val="22"/>
        </w:rPr>
        <w:t xml:space="preserve">Önce kanıt, sonra puan.</w:t>
      </w:r>
      <w:r>
        <w:rPr>
          <w:rFonts w:ascii="Calibri" w:cs="Calibri" w:eastAsia="Calibri" w:hAnsi="Calibri"/>
          <w:sz w:val="22"/>
          <w:szCs w:val="22"/>
        </w:rPr>
        <w:t xml:space="preserve"> Ölçü örneklerini çıktıların kanıtı olarak seçin ve hangi çıktıyı kanıtladığını belirtin.</w:t>
      </w:r>
    </w:p>
    <w:p>
      <w:pPr>
        <w:spacing w:after="140" w:line="288"/>
        <w:jc w:val="left"/>
      </w:pPr>
      <w:r>
        <w:rPr>
          <w:rFonts w:ascii="Calibri" w:cs="Calibri" w:eastAsia="Calibri" w:hAnsi="Calibri"/>
          <w:sz w:val="22"/>
          <w:szCs w:val="22"/>
        </w:rPr>
        <w:t xml:space="preserve">Standardın sınırlamaları arasında ölçü örneklerinin biçim tutarsızlığı (bazen sayı, bazen yüzde, bazen eğilim), çıktıların bir bölümünün doğrudan ölçülebilir olmaması (“aidiyet”, “güven”) ve bazı ISO/TS atıflarının kaynakçayla örtüşmemesi yer alır. Ek A yalnızca eylemleri listeler; ölçü ve çıktı örnekleri için ayrı bir kontrol listesi yoktur. Demografik veri toplama ve bölümlenmiş analiz, ülkeye göre farklı yasal sınırlara tabidir.</w:t>
      </w:r>
    </w:p>
    <w:p>
      <w:pPr>
        <w:spacing w:after="140" w:line="288"/>
        <w:jc w:val="left"/>
      </w:pPr>
      <w:r>
        <w:rPr>
          <w:rFonts w:ascii="Calibri" w:cs="Calibri" w:eastAsia="Calibri" w:hAnsi="Calibri"/>
          <w:sz w:val="22"/>
          <w:szCs w:val="22"/>
        </w:rPr>
        <w:t xml:space="preserve">Raporlamada yönetişim organı ve üst yönetim Ç&amp;K ilke ve hedeflerini, fırsat ve risk derecelerini, hedeflere karşı ilerlemeyi ve yıllık rapor anlatısını iş gücü demografik verisiyle; İK ve Ç&amp;K sorumluları yaşam döngüsü aşamalarına göre ölçüleri, bölümlenmiş analizi, orantısız etki eğilimlerini, şikâyet ve çözüm verisini ve Ek A kapsamasını; yöneticiler ekibe ilişkin geri bildirimi, kapsayıcı davranış beklentilerini ve uyumlaştırma taleplerini görür.</w:t>
      </w:r>
    </w:p>
    <w:p>
      <w:pPr>
        <w:pStyle w:val="Heading2"/>
        <w:keepNext/>
        <w:spacing w:after="110" w:before="320"/>
      </w:pPr>
      <w:r>
        <w:rPr>
          <w:rFonts w:ascii="Calibri" w:cs="Calibri" w:eastAsia="Calibri" w:hAnsi="Calibri"/>
          <w:b/>
          <w:bCs/>
          <w:sz w:val="27"/>
          <w:szCs w:val="27"/>
        </w:rPr>
        <w:t xml:space="preserve">Uygulama adımları</w:t>
      </w:r>
    </w:p>
    <w:p>
      <w:pPr>
        <w:pStyle w:val="ListParagraph"/>
        <w:numPr>
          <w:ilvl w:val="0"/>
          <w:numId w:val="5"/>
        </w:numPr>
        <w:spacing w:after="80" w:line="280"/>
      </w:pPr>
      <w:r>
        <w:rPr>
          <w:rFonts w:ascii="Calibri" w:cs="Calibri" w:eastAsia="Calibri" w:hAnsi="Calibri"/>
          <w:sz w:val="22"/>
          <w:szCs w:val="22"/>
        </w:rPr>
        <w:t xml:space="preserve">Altı ön koşulu sağlayın: çeşitliliği tanıyın, hesap verebilir ve kapsayıcı olun, savunuculuk yapın.</w:t>
      </w:r>
    </w:p>
    <w:p>
      <w:pPr>
        <w:pStyle w:val="ListParagraph"/>
        <w:numPr>
          <w:ilvl w:val="0"/>
          <w:numId w:val="5"/>
        </w:numPr>
        <w:spacing w:after="80" w:line="280"/>
      </w:pPr>
      <w:r>
        <w:rPr>
          <w:rFonts w:ascii="Calibri" w:cs="Calibri" w:eastAsia="Calibri" w:hAnsi="Calibri"/>
          <w:sz w:val="22"/>
          <w:szCs w:val="22"/>
        </w:rPr>
        <w:t xml:space="preserve">Hesap verebilirliği tanımlayın: yönetim organından bireye.</w:t>
      </w:r>
    </w:p>
    <w:p>
      <w:pPr>
        <w:pStyle w:val="ListParagraph"/>
        <w:numPr>
          <w:ilvl w:val="0"/>
          <w:numId w:val="5"/>
        </w:numPr>
        <w:spacing w:after="80" w:line="280"/>
      </w:pPr>
      <w:r>
        <w:rPr>
          <w:rFonts w:ascii="Calibri" w:cs="Calibri" w:eastAsia="Calibri" w:hAnsi="Calibri"/>
          <w:sz w:val="22"/>
          <w:szCs w:val="22"/>
        </w:rPr>
        <w:t xml:space="preserve">Ç&amp;K çerçevesini kurun: ilke, hedef, sorumlu, eylem, ölçü, fırsat ve riskler.</w:t>
      </w:r>
    </w:p>
    <w:p>
      <w:pPr>
        <w:pStyle w:val="ListParagraph"/>
        <w:numPr>
          <w:ilvl w:val="0"/>
          <w:numId w:val="5"/>
        </w:numPr>
        <w:spacing w:after="80" w:line="280"/>
      </w:pPr>
      <w:r>
        <w:rPr>
          <w:rFonts w:ascii="Calibri" w:cs="Calibri" w:eastAsia="Calibri" w:hAnsi="Calibri"/>
          <w:sz w:val="22"/>
          <w:szCs w:val="22"/>
        </w:rPr>
        <w:t xml:space="preserve">Kapsayıcı kültürü destekleyin: ses mekanizmaları, davranış beklentileri, demografik verinin etik toplanması.</w:t>
      </w:r>
    </w:p>
    <w:p>
      <w:pPr>
        <w:pStyle w:val="ListParagraph"/>
        <w:numPr>
          <w:ilvl w:val="0"/>
          <w:numId w:val="5"/>
        </w:numPr>
        <w:spacing w:after="80" w:line="280"/>
      </w:pPr>
      <w:r>
        <w:rPr>
          <w:rFonts w:ascii="Calibri" w:cs="Calibri" w:eastAsia="Calibri" w:hAnsi="Calibri"/>
          <w:sz w:val="22"/>
          <w:szCs w:val="22"/>
        </w:rPr>
        <w:t xml:space="preserve">İK yaşam döngüsünün dokuz aşamasını gözden geçirin; algoritma ve otomasyon önyargısını denetleyin.</w:t>
      </w:r>
    </w:p>
    <w:p>
      <w:pPr>
        <w:pStyle w:val="ListParagraph"/>
        <w:numPr>
          <w:ilvl w:val="0"/>
          <w:numId w:val="5"/>
        </w:numPr>
        <w:spacing w:after="80" w:line="280"/>
      </w:pPr>
      <w:r>
        <w:rPr>
          <w:rFonts w:ascii="Calibri" w:cs="Calibri" w:eastAsia="Calibri" w:hAnsi="Calibri"/>
          <w:sz w:val="22"/>
          <w:szCs w:val="22"/>
        </w:rPr>
        <w:t xml:space="preserve">Ürün, tedarik ve dış paydaşlara yayın.</w:t>
      </w:r>
    </w:p>
    <w:p>
      <w:pPr>
        <w:pStyle w:val="ListParagraph"/>
        <w:numPr>
          <w:ilvl w:val="0"/>
          <w:numId w:val="5"/>
        </w:numPr>
        <w:spacing w:after="80" w:line="280"/>
      </w:pPr>
      <w:r>
        <w:rPr>
          <w:rFonts w:ascii="Calibri" w:cs="Calibri" w:eastAsia="Calibri" w:hAnsi="Calibri"/>
          <w:sz w:val="22"/>
          <w:szCs w:val="22"/>
        </w:rPr>
        <w:t xml:space="preserve">Kurum için önemli ölçüleri seçin ve bölümlenmiş analiz edin; Ek A’daki kanıtları toplayın.</w:t>
      </w:r>
    </w:p>
    <w:p>
      <w:pPr>
        <w:pStyle w:val="ListParagraph"/>
        <w:numPr>
          <w:ilvl w:val="0"/>
          <w:numId w:val="5"/>
        </w:numPr>
        <w:spacing w:after="80" w:line="280"/>
      </w:pPr>
      <w:r>
        <w:rPr>
          <w:rFonts w:ascii="Calibri" w:cs="Calibri" w:eastAsia="Calibri" w:hAnsi="Calibri"/>
          <w:sz w:val="22"/>
          <w:szCs w:val="22"/>
        </w:rPr>
        <w:t xml:space="preserve">Yıllık raporda anlatı, kanıt ve iş gücü demografik verisini paylaşın; hedefleri gözden geçirin.</w:t>
      </w:r>
    </w:p>
    <w:p>
      <w:pPr>
        <w:pStyle w:val="Heading1"/>
        <w:keepNext/>
        <w:pageBreakBefore/>
        <w:spacing w:after="100" w:before="0"/>
      </w:pPr>
      <w:r>
        <w:rPr>
          <w:rFonts w:ascii="Calibri" w:cs="Calibri" w:eastAsia="Calibri" w:hAnsi="Calibri"/>
          <w:b/>
          <w:bCs/>
          <w:color w:val="0B5C8A"/>
          <w:sz w:val="34"/>
          <w:szCs w:val="34"/>
        </w:rPr>
        <w:t xml:space="preserve">5.4  İş Sağlığı ve Güvenliği Metrikleri</w:t>
      </w:r>
    </w:p>
    <w:p>
      <w:pPr>
        <w:keepNext/>
        <w:pBdr>
          <w:bottom w:val="single" w:color="0B5C8A" w:sz="8" w:space="6"/>
        </w:pBdr>
        <w:spacing w:after="220"/>
      </w:pPr>
      <w:r>
        <w:rPr>
          <w:rFonts w:ascii="Calibri" w:cs="Calibri" w:eastAsia="Calibri" w:hAnsi="Calibri"/>
          <w:i/>
          <w:iCs/>
          <w:color w:val="59636F"/>
          <w:sz w:val="26"/>
          <w:szCs w:val="26"/>
        </w:rPr>
        <w:t xml:space="preserve">ISO/TS 24179:2020 — Kayıp zaman, iş kazası, ölümlü kaza ve İSG eğitimi katılımı.</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ISO/TS 24179, ISO 30414’ün kurumsal sağlık, güvenlik ve iyi olma hâli kümesini ayrıntılandıran bir teknik şartnamedir. Dört metrik tanımlar: kayıp zaman, iş kazası sayısı, ölümlü kaza sayısı ve İSG eğitimine katılım oranı. Dördü de aynı basit biçimi kullanır: A = B ÷ C × 100. Belgenin asıl katkısı formüller değil, onların çevresindeki disiplindir: işgücü kategorilerinin tanımlanması, tüm olayların kayda geçirilmesi, verinin kırılımlandırılması ve sonucun bağlamıyla birlikte okunması.</w:t>
      </w:r>
    </w:p>
    <w:p>
      <w:pPr>
        <w:spacing w:after="140" w:line="288"/>
        <w:jc w:val="left"/>
      </w:pPr>
      <w:r>
        <w:rPr>
          <w:rFonts w:ascii="Calibri" w:cs="Calibri" w:eastAsia="Calibri" w:hAnsi="Calibri"/>
          <w:sz w:val="22"/>
          <w:szCs w:val="22"/>
        </w:rPr>
        <w:t xml:space="preserve">Şartname bir ölçme belgesidir; İSG yönetim sisteminin kendisi ISO 45001’in konusudur. Metrikler o sistemin sonuçlarını izler, sistemin yerine geçmez. Bu ayrım pratik bir sonuca varır: Kaza oranı iyi görünen ama sistemi kurulmamış bir kurum, iyi bir İSG performansına sahip değil, iyi bir kayıt eksikliğine sahiptir.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638"/>
      </w:tblGrid>
      <w:tr>
        <w:trPr>
          <w:cantSplit/>
          <w:tblHeader/>
        </w:trPr>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 (pay)</w:t>
            </w:r>
          </w:p>
        </w:tc>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C (payda)</w:t>
            </w:r>
          </w:p>
        </w:tc>
        <w:tc>
          <w:tcPr>
            <w:tcW w:type="dxa" w:w="2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Raporlama önerisi</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Kayıp zaman (işle ilgili yaralanma, kaza ve hastalık)</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Kaybedilen çalışma süresi</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Planlanan çalışma süresi</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Büyük kuruluşlarda ayrıca dış raporlama için önerilir</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 kazası sayısı</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Kaza sayısı</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Ortalama kadro</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Büyük kuruluşlar ve KOBİ’ler için iç ve dış raporlama</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Ölümlü kaza sayısı</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Ölen kişi sayısı</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Ortalama kadro</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Büyük kuruluşlar ve KOBİ’ler için iç ve dış raporlama</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İSG eğitimine katılım</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Eğitim katılımcısı sayısı</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Ortalama kadro</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Büyük kuruluşlar ve KOBİ’ler için iç raporlama</w:t>
            </w:r>
          </w:p>
        </w:tc>
      </w:tr>
    </w:tbl>
    <w:p>
      <w:pPr>
        <w:spacing w:after="140"/>
      </w:pPr>
    </w:p>
    <w:p>
      <w:pPr>
        <w:spacing w:after="140" w:line="288"/>
        <w:jc w:val="left"/>
      </w:pPr>
      <w:r>
        <w:rPr>
          <w:rFonts w:ascii="Calibri" w:cs="Calibri" w:eastAsia="Calibri" w:hAnsi="Calibri"/>
          <w:sz w:val="22"/>
          <w:szCs w:val="22"/>
        </w:rPr>
        <w:t xml:space="preserve">Dört metrik de aynı formülü paylaştığından, değişen tek şey paydadır: Kayıp zamanda planlanan çalışma süresi, diğer üçünde ortalama kadro. Bu yüzden birimleri karıştırmamak kritiktir; saatle gün, kişiyle olay birbirine bölünmez.</w:t>
      </w:r>
    </w:p>
    <w:p>
      <w:pPr>
        <w:pStyle w:val="Heading2"/>
        <w:keepNext/>
        <w:spacing w:after="110" w:before="320"/>
      </w:pPr>
      <w:r>
        <w:rPr>
          <w:rFonts w:ascii="Calibri" w:cs="Calibri" w:eastAsia="Calibri" w:hAnsi="Calibri"/>
          <w:b/>
          <w:bCs/>
          <w:sz w:val="27"/>
          <w:szCs w:val="27"/>
        </w:rPr>
        <w:t xml:space="preserve">Kayıp zamanın dar tanımı</w:t>
      </w:r>
    </w:p>
    <w:p>
      <w:pPr>
        <w:spacing w:after="140" w:line="288"/>
        <w:jc w:val="left"/>
      </w:pPr>
      <w:r>
        <w:rPr>
          <w:rFonts w:ascii="Calibri" w:cs="Calibri" w:eastAsia="Calibri" w:hAnsi="Calibri"/>
          <w:sz w:val="22"/>
          <w:szCs w:val="22"/>
        </w:rPr>
        <w:t xml:space="preserve">Şartname kayıp zamanı dar tanımlar: Ölüm, kalıcı iş göremezlik ya da bir gün veya vardiya ve üzerinde iş kaybıyla sonuçlanan olaylar sayılır. Genel devamsızlık bu metrik değildir. Bu eşiğin altında kalan olaylar (ilk yardım müdahaleleri, ramak kalalar) metrikte görünmez; oysa öncü gösterge olarak en değerli veri çoğu zaman oradadır. Bu nedenle kurumlar kayıp zamana ek olarak ramak kala bildirimlerini ve hafif olay sayısını da izlemelidir.</w:t>
      </w:r>
    </w:p>
    <w:p>
      <w:pPr>
        <w:pStyle w:val="Heading2"/>
        <w:keepNext/>
        <w:spacing w:after="110" w:before="320"/>
      </w:pPr>
      <w:r>
        <w:rPr>
          <w:rFonts w:ascii="Calibri" w:cs="Calibri" w:eastAsia="Calibri" w:hAnsi="Calibri"/>
          <w:b/>
          <w:bCs/>
          <w:sz w:val="27"/>
          <w:szCs w:val="27"/>
        </w:rPr>
        <w:t xml:space="preserve">Ölümlü kaza: Yüzde değil, mutlak sayı</w:t>
      </w:r>
    </w:p>
    <w:p>
      <w:pPr>
        <w:spacing w:after="140" w:line="288"/>
        <w:jc w:val="left"/>
      </w:pPr>
      <w:r>
        <w:rPr>
          <w:rFonts w:ascii="Calibri" w:cs="Calibri" w:eastAsia="Calibri" w:hAnsi="Calibri"/>
          <w:sz w:val="22"/>
          <w:szCs w:val="22"/>
        </w:rPr>
        <w:t xml:space="preserve">Şartname açıkça söyler: Ölümlü kaza mutlak sayıyla da verilir. Yalnızca yüzde raporlamak, rakamın etkisine karşı duyarsızlaştırır; beş kişi “%0,4” değildir. Büyük kadrolarda yüzde sıfıra yakın görünür ve olayın ağırlığını gizler. Seyrek olaylar için yüz bin çalışan tabanı daha okunabilirdir. Bu, bu kitabın genel ilkesinin (oranların yanında mutlak sayılar) en ağır örneğidir.</w:t>
      </w:r>
    </w:p>
    <w:p>
      <w:pPr>
        <w:pStyle w:val="Heading2"/>
        <w:keepNext/>
        <w:spacing w:after="110" w:before="320"/>
      </w:pPr>
      <w:r>
        <w:rPr>
          <w:rFonts w:ascii="Calibri" w:cs="Calibri" w:eastAsia="Calibri" w:hAnsi="Calibri"/>
          <w:b/>
          <w:bCs/>
          <w:sz w:val="27"/>
          <w:szCs w:val="27"/>
        </w:rPr>
        <w:t xml:space="preserve">Dokuz kırılım ekseni</w:t>
      </w:r>
    </w:p>
    <w:p>
      <w:pPr>
        <w:spacing w:after="140" w:line="288"/>
        <w:jc w:val="left"/>
      </w:pPr>
      <w:r>
        <w:rPr>
          <w:rFonts w:ascii="Calibri" w:cs="Calibri" w:eastAsia="Calibri" w:hAnsi="Calibri"/>
          <w:sz w:val="22"/>
          <w:szCs w:val="22"/>
        </w:rPr>
        <w:t xml:space="preserve">Metrik ne kadar ayrıntılı kırılırsa, analiz ve müdahale olanağı o kadar artar. Standart dokuz eksen sayar.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Eksen</w:t>
            </w:r>
          </w:p>
        </w:tc>
        <w:tc>
          <w:tcPr>
            <w:tcW w:type="dxa" w:w="5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sorar?</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Birim ya da masraf merkezi hiyerarşisi</w:t>
            </w:r>
          </w:p>
        </w:tc>
        <w:tc>
          <w:tcPr>
            <w:tcW w:type="dxa" w:w="5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organizasyon biriminde?</w:t>
            </w:r>
          </w:p>
        </w:tc>
      </w:tr>
      <w:tr>
        <w:trPr>
          <w:cantSplit/>
        </w:trPr>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Konum</w:t>
            </w:r>
          </w:p>
        </w:tc>
        <w:tc>
          <w:tcPr>
            <w:tcW w:type="dxa" w:w="5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tesiste, hangi sahada?</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Ürün hattı</w:t>
            </w:r>
          </w:p>
        </w:tc>
        <w:tc>
          <w:tcPr>
            <w:tcW w:type="dxa" w:w="5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üretim hattında?</w:t>
            </w:r>
          </w:p>
        </w:tc>
      </w:tr>
      <w:tr>
        <w:trPr>
          <w:cantSplit/>
        </w:trPr>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İşlev</w:t>
            </w:r>
          </w:p>
        </w:tc>
        <w:tc>
          <w:tcPr>
            <w:tcW w:type="dxa" w:w="5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işlevde (bakım, lojistik, üretim)?</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Olay türü</w:t>
            </w:r>
          </w:p>
        </w:tc>
        <w:tc>
          <w:tcPr>
            <w:tcW w:type="dxa" w:w="5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 tür bir olay (burkulma, kırık, uzuv kaybı)?</w:t>
            </w:r>
          </w:p>
        </w:tc>
      </w:tr>
      <w:tr>
        <w:trPr>
          <w:cantSplit/>
        </w:trPr>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Olay alt kümesi</w:t>
            </w:r>
          </w:p>
        </w:tc>
        <w:tc>
          <w:tcPr>
            <w:tcW w:type="dxa" w:w="5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Türün içinde hangi alt kategori?</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kategorisi</w:t>
            </w:r>
          </w:p>
        </w:tc>
        <w:tc>
          <w:tcPr>
            <w:tcW w:type="dxa" w:w="5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Kadrolu, geçici, yüklenici, dış kaynak?</w:t>
            </w:r>
          </w:p>
        </w:tc>
      </w:tr>
      <w:tr>
        <w:trPr>
          <w:cantSplit/>
        </w:trPr>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Günün saati</w:t>
            </w:r>
          </w:p>
        </w:tc>
        <w:tc>
          <w:tcPr>
            <w:tcW w:type="dxa" w:w="5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vardiyada, mesainin kaçıncı saatinde?</w:t>
            </w:r>
          </w:p>
        </w:tc>
      </w:tr>
      <w:tr>
        <w:trPr>
          <w:cantSplit/>
        </w:trPr>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Olay anındaki İSG eğitim durumu</w:t>
            </w:r>
          </w:p>
        </w:tc>
        <w:tc>
          <w:tcPr>
            <w:tcW w:type="dxa" w:w="5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Kişi eğitimli miydi, tazeleme zamanı geçmiş miydi?</w:t>
            </w:r>
          </w:p>
        </w:tc>
      </w:tr>
    </w:tbl>
    <w:p>
      <w:pPr>
        <w:spacing w:after="140"/>
      </w:pPr>
    </w:p>
    <w:p>
      <w:pPr>
        <w:spacing w:after="140" w:line="288"/>
        <w:jc w:val="left"/>
      </w:pPr>
      <w:r>
        <w:rPr>
          <w:rFonts w:ascii="Calibri" w:cs="Calibri" w:eastAsia="Calibri" w:hAnsi="Calibri"/>
          <w:sz w:val="22"/>
          <w:szCs w:val="22"/>
        </w:rPr>
        <w:t xml:space="preserve">Dokuzuncu eksen, olay anındaki İSG eğitim durumu, çoğu sistemde eksik olan ve en çok bilgi taşıyan eksendir: Olaya karışan kişinin eğitimli mi olduğunu, eğitiminin yenilenme zamanının geçip geçmediğini bilmek, “eğitim var mı?” sorusunu “eğitim işe yarıyor mu?” sorusuna dönüştürür. Çalışan kategorisi ekseni de önemlidir: Yüklenici ya da dış kaynak işgücü kapsama alınmazsa riski en yüksek grup ölçümün dışında kalır. İşgücü kategorileri kurumun kendi faaliyetine göre belgelenmeli ve düzenli gözden geçirilmelidir.</w:t>
      </w:r>
    </w:p>
    <w:p>
      <w:pPr>
        <w:pStyle w:val="Heading3"/>
        <w:keepNext/>
        <w:spacing w:after="80" w:before="220"/>
      </w:pPr>
      <w:r>
        <w:rPr>
          <w:rFonts w:ascii="Calibri" w:cs="Calibri" w:eastAsia="Calibri" w:hAnsi="Calibri"/>
          <w:b/>
          <w:bCs/>
          <w:color w:val="0B5C8A"/>
          <w:sz w:val="23"/>
          <w:szCs w:val="23"/>
        </w:rPr>
        <w:t xml:space="preserve">Kurgusal örnek: Dört metrik ve iki türetilmiş oran</w:t>
      </w:r>
    </w:p>
    <w:p>
      <w:pPr>
        <w:spacing w:after="140" w:line="288"/>
        <w:jc w:val="left"/>
      </w:pPr>
      <w:r>
        <w:rPr>
          <w:rFonts w:ascii="Calibri" w:cs="Calibri" w:eastAsia="Calibri" w:hAnsi="Calibri"/>
          <w:sz w:val="22"/>
          <w:szCs w:val="22"/>
        </w:rPr>
        <w:t xml:space="preserve">Anadolu Örnek A.Ş.’nin ortalama kadrosu 1.200’dür. Planlanan çalışma süresi yıllık 2.160.000 saattir (çalışan başına 1.800 saat); gerçekleşen çalışma süresi aynı kabul edilmiştir. Yıl içinde 18 iş kazası olmuş, 5.400 saatlik (675 günlük) kayıp zaman oluşmuş, ölümlü kaza olmamış ve 1.104 çalışan İSG eğitimine katılmıştır.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3400"/>
        <w:gridCol w:w="2338"/>
      </w:tblGrid>
      <w:tr>
        <w:trPr>
          <w:cantSplit/>
          <w:tblHeader/>
        </w:trPr>
        <w:tc>
          <w:tcPr>
            <w:tcW w:type="dxa" w:w="3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3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2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Sonuç</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Kayıp zaman</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5.400 ÷ 2.160.000 × 100</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%0,25</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 kazası</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 ÷ 1.200 × 100</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Ölümlü kaza</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 ÷ 1.200 (mutlak sayı: 0)</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İSG eğitimine katılım</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1.104 ÷ 1.200 × 100</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%92,0</w:t>
            </w:r>
          </w:p>
        </w:tc>
      </w:tr>
      <w:tr>
        <w:trPr>
          <w:cantSplit/>
        </w:trPr>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Sıklık oranı (türetilmiş, 1.000.000 saat tabanı)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 ÷ 2.160.000 × 1.000.000</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8,33</w:t>
            </w:r>
          </w:p>
        </w:tc>
      </w:tr>
      <w:tr>
        <w:trPr>
          <w:cantSplit/>
        </w:trPr>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Ağırlık oranı (türetilmiş, 1.000.000 saat tabanı)</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675 ÷ 2.160.000 × 1.000.000</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312,5</w:t>
            </w:r>
          </w:p>
        </w:tc>
      </w:tr>
    </w:tbl>
    <w:p>
      <w:pPr>
        <w:spacing w:after="140"/>
      </w:pPr>
    </w:p>
    <w:p>
      <w:pPr>
        <w:spacing w:after="140" w:line="288"/>
        <w:jc w:val="left"/>
      </w:pPr>
      <w:r>
        <w:rPr>
          <w:rFonts w:ascii="Calibri" w:cs="Calibri" w:eastAsia="Calibri" w:hAnsi="Calibri"/>
          <w:sz w:val="22"/>
          <w:szCs w:val="22"/>
        </w:rPr>
        <w:t xml:space="preserve">Dört metrik iyi görünür: eğitim katılımı %92, ölümlü kaza sıfır. Ancak sıklık oranı (kaç olay) ve ağırlık oranı (olay ne kadar ağır) birlikte okunduğunda ve olay anındaki eğitim durumu kırılımına inildiğinde farklı bir resim çıkabilir. Kurgusal örnekte 18 kazanın 11’i eğitim tazeleme süresi geçmiş çalışanlarda yaşanmıştır. Eğitim katılım oranı yüksekken olay sayısı da yüksekse soru eğitimin varlığı değil, içeriği ve zamanlamasıdır. Burada eğitimin yıllık tazelenmesi eksik; yani katılım oranı %92 olsa bile, katılımın zamanlaması sorunludur. Sıklık ve ağırlık oranları standardın parçası değildir; rehber sayfasında karşılaştırmayı kolaylaştırmak için türetilmiş metrik olarak sunulur.</w:t>
      </w:r>
    </w:p>
    <w:p>
      <w:pPr>
        <w:pStyle w:val="Heading3"/>
        <w:keepNext/>
        <w:spacing w:after="80" w:before="220"/>
      </w:pPr>
      <w:r>
        <w:rPr>
          <w:rFonts w:ascii="Calibri" w:cs="Calibri" w:eastAsia="Calibri" w:hAnsi="Calibri"/>
          <w:b/>
          <w:bCs/>
          <w:color w:val="0B5C8A"/>
          <w:sz w:val="23"/>
          <w:szCs w:val="23"/>
        </w:rPr>
        <w:t xml:space="preserve">Kurgusal vaka: Kayıt disiplini ve artan sayılar</w:t>
      </w:r>
    </w:p>
    <w:p>
      <w:pPr>
        <w:spacing w:after="140" w:line="288"/>
        <w:jc w:val="left"/>
      </w:pPr>
      <w:r>
        <w:rPr>
          <w:rFonts w:ascii="Calibri" w:cs="Calibri" w:eastAsia="Calibri" w:hAnsi="Calibri"/>
          <w:sz w:val="22"/>
          <w:szCs w:val="22"/>
        </w:rPr>
        <w:t xml:space="preserve">Anadolu Örnek A.Ş.’nin üretim tesisinde, yeni bir olay bildirim uygulaması devreye girdikten sonra iş kazası kaydı bir yılda 9’dan 18’e çıkmıştır. İlk bakışta bu kötüleşme gibi görünür. Ancak kırılımlar, artışın tamamının hafif olaylarda (tek gün kayıp, ilk yardım sonrası dönüş) olduğunu ve ağır olay sayısının sabit kaldığını gösterir. Ramak kala bildirimleri de aynı dönemde 12’den 85’e yükselmiştir. Standardın yorum ilkesi budur: Sayının artması her zaman kötüleşme değildir; yeni kurulan kayıt süreci ilk yıllarda sayıları yukarı çeker. Yönetim kuruluna sunulan raporda artış, ağırlık oranı ve ramak kala eğilimiyle birlikte açıklanmış, “bildirim kültürü gelişiyor” sonucuna varılmıştır. Rakamlar kurgusaldır.</w:t>
      </w:r>
    </w:p>
    <w:p>
      <w:pPr>
        <w:pStyle w:val="Heading2"/>
        <w:keepNext/>
        <w:spacing w:after="110" w:before="320"/>
      </w:pPr>
      <w:r>
        <w:rPr>
          <w:rFonts w:ascii="Calibri" w:cs="Calibri" w:eastAsia="Calibri" w:hAnsi="Calibri"/>
          <w:b/>
          <w:bCs/>
          <w:sz w:val="27"/>
          <w:szCs w:val="27"/>
        </w:rPr>
        <w:t xml:space="preserve">Önce kayıt süreci, sonra metrik</w:t>
      </w:r>
    </w:p>
    <w:p>
      <w:pPr>
        <w:spacing w:after="140" w:line="288"/>
        <w:jc w:val="left"/>
      </w:pPr>
      <w:r>
        <w:rPr>
          <w:rFonts w:ascii="Calibri" w:cs="Calibri" w:eastAsia="Calibri" w:hAnsi="Calibri"/>
          <w:sz w:val="22"/>
          <w:szCs w:val="22"/>
        </w:rPr>
        <w:t xml:space="preserve">Şartnamenin belki de en önemli mesajı sayıların değil, kayıt sürecinin önceliğidir. Tüm İSG olaylarını yakalayan bir kayıt ve yönetim süreci kurulmadan üretilen sayılar, iyileşmeyi değil eksik kaydı gösterir. Küçük kuruluşlarda basit bir hesap tablosu yeterli olabilir. Bu bağlamda kazasız süre göstergesi (son olaydan bu yana çalışılan saat ya da gün), önleyici programın göstergesi olarak kullanılabilir; ancak dikkatli kullanılmalıdır. Rekor kırma isteği, küçük olayların bildirilmemesine yol açabilir. Bu gösterge yalnızca bildirim kültürünün güçlü olduğu yerlerde anlamlıdır ve tek başına ödüllendirme ölçütü yapılmamalıdır.</w:t>
      </w:r>
    </w:p>
    <w:p>
      <w:pPr>
        <w:pStyle w:val="Heading2"/>
        <w:keepNext/>
        <w:spacing w:after="110" w:before="320"/>
      </w:pPr>
      <w:r>
        <w:rPr>
          <w:rFonts w:ascii="Calibri" w:cs="Calibri" w:eastAsia="Calibri" w:hAnsi="Calibri"/>
          <w:b/>
          <w:bCs/>
          <w:sz w:val="27"/>
          <w:szCs w:val="27"/>
        </w:rPr>
        <w:t xml:space="preserve">Yorum kuralları</w:t>
      </w:r>
    </w:p>
    <w:p>
      <w:pPr>
        <w:pStyle w:val="ListParagraph"/>
        <w:numPr>
          <w:ilvl w:val="0"/>
          <w:numId w:val="2"/>
        </w:numPr>
        <w:spacing w:after="80" w:line="280"/>
      </w:pPr>
      <w:r>
        <w:rPr>
          <w:rFonts w:ascii="Calibri" w:cs="Calibri" w:eastAsia="Calibri" w:hAnsi="Calibri"/>
          <w:b/>
          <w:bCs/>
          <w:sz w:val="22"/>
          <w:szCs w:val="22"/>
        </w:rPr>
        <w:t xml:space="preserve">Sayının düşmesi her zaman güvenliğin arttığı anlamına gelmez.</w:t>
      </w:r>
      <w:r>
        <w:rPr>
          <w:rFonts w:ascii="Calibri" w:cs="Calibri" w:eastAsia="Calibri" w:hAnsi="Calibri"/>
          <w:sz w:val="22"/>
          <w:szCs w:val="22"/>
        </w:rPr>
        <w:t xml:space="preserve"> Kayıt disiplini gevşemiş, bildirim caydırılmış ya da kadro küçülmüş olabilir.</w:t>
      </w:r>
    </w:p>
    <w:p>
      <w:pPr>
        <w:pStyle w:val="ListParagraph"/>
        <w:numPr>
          <w:ilvl w:val="0"/>
          <w:numId w:val="2"/>
        </w:numPr>
        <w:spacing w:after="80" w:line="280"/>
      </w:pPr>
      <w:r>
        <w:rPr>
          <w:rFonts w:ascii="Calibri" w:cs="Calibri" w:eastAsia="Calibri" w:hAnsi="Calibri"/>
          <w:b/>
          <w:bCs/>
          <w:sz w:val="22"/>
          <w:szCs w:val="22"/>
        </w:rPr>
        <w:t xml:space="preserve">Sayının artması her zaman kötüleşme değildir.</w:t>
      </w:r>
      <w:r>
        <w:rPr>
          <w:rFonts w:ascii="Calibri" w:cs="Calibri" w:eastAsia="Calibri" w:hAnsi="Calibri"/>
          <w:sz w:val="22"/>
          <w:szCs w:val="22"/>
        </w:rPr>
        <w:t xml:space="preserve"> Raporlamayı artıran farkındalık ve yeni kurulan kayıt süreci ilk yıllarda sayıları yukarı çeker.</w:t>
      </w:r>
    </w:p>
    <w:p>
      <w:pPr>
        <w:pStyle w:val="ListParagraph"/>
        <w:numPr>
          <w:ilvl w:val="0"/>
          <w:numId w:val="2"/>
        </w:numPr>
        <w:spacing w:after="80" w:line="280"/>
      </w:pPr>
      <w:r>
        <w:rPr>
          <w:rFonts w:ascii="Calibri" w:cs="Calibri" w:eastAsia="Calibri" w:hAnsi="Calibri"/>
          <w:b/>
          <w:bCs/>
          <w:sz w:val="22"/>
          <w:szCs w:val="22"/>
        </w:rPr>
        <w:t xml:space="preserve">Kaza sayısı ile kayıp zamanı birlikte okuyun.</w:t>
      </w:r>
      <w:r>
        <w:rPr>
          <w:rFonts w:ascii="Calibri" w:cs="Calibri" w:eastAsia="Calibri" w:hAnsi="Calibri"/>
          <w:sz w:val="22"/>
          <w:szCs w:val="22"/>
        </w:rPr>
        <w:t xml:space="preserve"> Az sayıda ama ağır olay ile çok sayıda hafif olay aynı kaza oranını verir.</w:t>
      </w:r>
    </w:p>
    <w:p>
      <w:pPr>
        <w:pStyle w:val="ListParagraph"/>
        <w:numPr>
          <w:ilvl w:val="0"/>
          <w:numId w:val="2"/>
        </w:numPr>
        <w:spacing w:after="80" w:line="280"/>
      </w:pPr>
      <w:r>
        <w:rPr>
          <w:rFonts w:ascii="Calibri" w:cs="Calibri" w:eastAsia="Calibri" w:hAnsi="Calibri"/>
          <w:b/>
          <w:bCs/>
          <w:sz w:val="22"/>
          <w:szCs w:val="22"/>
        </w:rPr>
        <w:t xml:space="preserve">Eğitim katılımı yüksekken olay sayısı da yüksekse</w:t>
      </w:r>
      <w:r>
        <w:rPr>
          <w:rFonts w:ascii="Calibri" w:cs="Calibri" w:eastAsia="Calibri" w:hAnsi="Calibri"/>
          <w:sz w:val="22"/>
          <w:szCs w:val="22"/>
        </w:rPr>
        <w:t xml:space="preserve"> eğitimin içeriğini ve zamanlamasını sorgulayın.</w:t>
      </w:r>
    </w:p>
    <w:p>
      <w:pPr>
        <w:pStyle w:val="ListParagraph"/>
        <w:numPr>
          <w:ilvl w:val="0"/>
          <w:numId w:val="2"/>
        </w:numPr>
        <w:spacing w:after="80" w:line="280"/>
      </w:pPr>
      <w:r>
        <w:rPr>
          <w:rFonts w:ascii="Calibri" w:cs="Calibri" w:eastAsia="Calibri" w:hAnsi="Calibri"/>
          <w:b/>
          <w:bCs/>
          <w:sz w:val="22"/>
          <w:szCs w:val="22"/>
        </w:rPr>
        <w:t xml:space="preserve">Küçük kadrolarda yüzdeler oynaktır.</w:t>
      </w:r>
      <w:r>
        <w:rPr>
          <w:rFonts w:ascii="Calibri" w:cs="Calibri" w:eastAsia="Calibri" w:hAnsi="Calibri"/>
          <w:sz w:val="22"/>
          <w:szCs w:val="22"/>
        </w:rPr>
        <w:t xml:space="preserve"> Elli kişilik bir kuruluşta tek bir kaza %2 demektir; mutlak sayıyı yanına koyun.</w:t>
      </w:r>
    </w:p>
    <w:p>
      <w:pPr>
        <w:spacing w:after="140" w:line="288"/>
        <w:jc w:val="left"/>
      </w:pPr>
      <w:r>
        <w:rPr>
          <w:rFonts w:ascii="Calibri" w:cs="Calibri" w:eastAsia="Calibri" w:hAnsi="Calibri"/>
          <w:sz w:val="22"/>
          <w:szCs w:val="22"/>
        </w:rPr>
        <w:t xml:space="preserve">Payda seçimi de sonucu değiştirir: Aynı olay sayısı kadroya bölündüğünde ve çalışılan saate bölündüğünde farklı eğilimler gösterebilir. Fazla mesainin arttığı dönemlerde kadro tabanlı oran riski olduğundan düşük gösterir. Bu, Kısım 5.1’deki aşırı bağlılık uyarısıyla doğrudan ilişkilidir: Fazla mesai hem bağlılığı hem kaza riskini yükseltebilir. Kişisel sağlık verisi hassastır; kırılımlar kişiyi tanınabilir kılacak kadar küçülmemeli, asgari grup büyüklüğü kuralı belirlenmelidir.</w:t>
      </w:r>
    </w:p>
    <w:p>
      <w:pPr>
        <w:spacing w:after="140" w:line="288"/>
        <w:jc w:val="left"/>
      </w:pPr>
      <w:r>
        <w:rPr>
          <w:rFonts w:ascii="Calibri" w:cs="Calibri" w:eastAsia="Calibri" w:hAnsi="Calibri"/>
          <w:sz w:val="22"/>
          <w:szCs w:val="22"/>
        </w:rPr>
        <w:t xml:space="preserve">Standardın örnek tablolarında bir birim tutarsızlığı vardır: Kaza sayılarını gösteren tablonun üst bilgisinde “saat cinsinden değerler” ifadesi yer alırken satırlar olay sayısıdır. Ayrıca örneklerde payda verilmediği için yüzdeler örneklerden hesaplanamaz. Kendi tablonuzda birimi her satır için açıkça yazın.</w:t>
      </w:r>
    </w:p>
    <w:p>
      <w:pPr>
        <w:spacing w:after="140" w:line="288"/>
        <w:jc w:val="left"/>
      </w:pPr>
      <w:r>
        <w:rPr>
          <w:rFonts w:ascii="Calibri" w:cs="Calibri" w:eastAsia="Calibri" w:hAnsi="Calibri"/>
          <w:sz w:val="22"/>
          <w:szCs w:val="22"/>
        </w:rPr>
        <w:t xml:space="preserve">Raporlamada İSG birimi ve İK dört metriği, dokuz eksende kırılımı, sıklık ve ağırlık oranını ve olay kök nedenlerini aylık analitik raporda görür. Üst yönetim ve kurul eğilimi, ölümlü kaza mutlak sayısını, kazasız süreyi, olayın maliyetini ve hedefe göre durumu skor kartında görür. Hat yönetimi kendi biriminin olay sayısını, vardiya ve eğitim durumu kırılımını; çalışan temsilcileri ve İSG kurulu olay türlerini, alınan önlemleri ve eğitim katılımını; düzenleyici ve dış paydaşlar kaza ve ölüm sayıları ile oranlarını (büyük kuruluşlarda ayrıca kayıp zamanı) yasal bildirim ve sürdürülebilirlik raporunda görür.</w:t>
      </w:r>
    </w:p>
    <w:p>
      <w:pPr>
        <w:pStyle w:val="Heading2"/>
        <w:keepNext/>
        <w:spacing w:after="110" w:before="320"/>
      </w:pPr>
      <w:r>
        <w:rPr>
          <w:rFonts w:ascii="Calibri" w:cs="Calibri" w:eastAsia="Calibri" w:hAnsi="Calibri"/>
          <w:b/>
          <w:bCs/>
          <w:sz w:val="27"/>
          <w:szCs w:val="27"/>
        </w:rPr>
        <w:t xml:space="preserve">Metrik kurulum adımları</w:t>
      </w:r>
    </w:p>
    <w:p>
      <w:pPr>
        <w:pStyle w:val="ListParagraph"/>
        <w:numPr>
          <w:ilvl w:val="0"/>
          <w:numId w:val="6"/>
        </w:numPr>
        <w:spacing w:after="80" w:line="280"/>
      </w:pPr>
      <w:r>
        <w:rPr>
          <w:rFonts w:ascii="Calibri" w:cs="Calibri" w:eastAsia="Calibri" w:hAnsi="Calibri"/>
          <w:sz w:val="22"/>
          <w:szCs w:val="22"/>
        </w:rPr>
        <w:t xml:space="preserve">İşgücü kategorilerini belgeleyin: kadrolu, geçici, yüklenici, dış kaynak.</w:t>
      </w:r>
    </w:p>
    <w:p>
      <w:pPr>
        <w:pStyle w:val="ListParagraph"/>
        <w:numPr>
          <w:ilvl w:val="0"/>
          <w:numId w:val="6"/>
        </w:numPr>
        <w:spacing w:after="80" w:line="280"/>
      </w:pPr>
      <w:r>
        <w:rPr>
          <w:rFonts w:ascii="Calibri" w:cs="Calibri" w:eastAsia="Calibri" w:hAnsi="Calibri"/>
          <w:sz w:val="22"/>
          <w:szCs w:val="22"/>
        </w:rPr>
        <w:t xml:space="preserve">Tüm İSG olaylarını yakalayan kayıt sürecini kurun.</w:t>
      </w:r>
    </w:p>
    <w:p>
      <w:pPr>
        <w:pStyle w:val="ListParagraph"/>
        <w:numPr>
          <w:ilvl w:val="0"/>
          <w:numId w:val="6"/>
        </w:numPr>
        <w:spacing w:after="80" w:line="280"/>
      </w:pPr>
      <w:r>
        <w:rPr>
          <w:rFonts w:ascii="Calibri" w:cs="Calibri" w:eastAsia="Calibri" w:hAnsi="Calibri"/>
          <w:sz w:val="22"/>
          <w:szCs w:val="22"/>
        </w:rPr>
        <w:t xml:space="preserve">Kayıp zaman ölçütünü sabitleyin: bir gün veya vardiya ve üzeri iş kaybı.</w:t>
      </w:r>
    </w:p>
    <w:p>
      <w:pPr>
        <w:pStyle w:val="ListParagraph"/>
        <w:numPr>
          <w:ilvl w:val="0"/>
          <w:numId w:val="6"/>
        </w:numPr>
        <w:spacing w:after="80" w:line="280"/>
      </w:pPr>
      <w:r>
        <w:rPr>
          <w:rFonts w:ascii="Calibri" w:cs="Calibri" w:eastAsia="Calibri" w:hAnsi="Calibri"/>
          <w:sz w:val="22"/>
          <w:szCs w:val="22"/>
        </w:rPr>
        <w:t xml:space="preserve">Paydaları tanımlayın: planlanan çalışma süresi ve ortalama kadro.</w:t>
      </w:r>
    </w:p>
    <w:p>
      <w:pPr>
        <w:pStyle w:val="ListParagraph"/>
        <w:numPr>
          <w:ilvl w:val="0"/>
          <w:numId w:val="6"/>
        </w:numPr>
        <w:spacing w:after="80" w:line="280"/>
      </w:pPr>
      <w:r>
        <w:rPr>
          <w:rFonts w:ascii="Calibri" w:cs="Calibri" w:eastAsia="Calibri" w:hAnsi="Calibri"/>
          <w:sz w:val="22"/>
          <w:szCs w:val="22"/>
        </w:rPr>
        <w:t xml:space="preserve">Dokuz kırılım eksenini veri modeline ekleyin; özellikle olay anındaki eğitim durumunu.</w:t>
      </w:r>
    </w:p>
    <w:p>
      <w:pPr>
        <w:pStyle w:val="ListParagraph"/>
        <w:numPr>
          <w:ilvl w:val="0"/>
          <w:numId w:val="6"/>
        </w:numPr>
        <w:spacing w:after="80" w:line="280"/>
      </w:pPr>
      <w:r>
        <w:rPr>
          <w:rFonts w:ascii="Calibri" w:cs="Calibri" w:eastAsia="Calibri" w:hAnsi="Calibri"/>
          <w:sz w:val="22"/>
          <w:szCs w:val="22"/>
        </w:rPr>
        <w:t xml:space="preserve">Eğitim zamanlaması gerekliliklerini yazın (yeni başlayanlar, tazeleme).</w:t>
      </w:r>
    </w:p>
    <w:p>
      <w:pPr>
        <w:pStyle w:val="ListParagraph"/>
        <w:numPr>
          <w:ilvl w:val="0"/>
          <w:numId w:val="6"/>
        </w:numPr>
        <w:spacing w:after="80" w:line="280"/>
      </w:pPr>
      <w:r>
        <w:rPr>
          <w:rFonts w:ascii="Calibri" w:cs="Calibri" w:eastAsia="Calibri" w:hAnsi="Calibri"/>
          <w:sz w:val="22"/>
          <w:szCs w:val="22"/>
        </w:rPr>
        <w:t xml:space="preserve">Önleme göstergesini ve ramak kala takibini seçin.</w:t>
      </w:r>
    </w:p>
    <w:p>
      <w:pPr>
        <w:pStyle w:val="ListParagraph"/>
        <w:numPr>
          <w:ilvl w:val="0"/>
          <w:numId w:val="6"/>
        </w:numPr>
        <w:spacing w:after="80" w:line="280"/>
      </w:pPr>
      <w:r>
        <w:rPr>
          <w:rFonts w:ascii="Calibri" w:cs="Calibri" w:eastAsia="Calibri" w:hAnsi="Calibri"/>
          <w:sz w:val="22"/>
          <w:szCs w:val="22"/>
        </w:rPr>
        <w:t xml:space="preserve">Karşılaştırma tabanını kurun: önceki dönem ve geçmiş üç ilâ beş yıl.</w:t>
      </w:r>
    </w:p>
    <w:p>
      <w:pPr>
        <w:pStyle w:val="Heading1"/>
        <w:keepNext/>
        <w:pageBreakBefore/>
        <w:spacing w:after="100" w:before="0"/>
      </w:pPr>
      <w:r>
        <w:rPr>
          <w:rFonts w:ascii="Calibri" w:cs="Calibri" w:eastAsia="Calibri" w:hAnsi="Calibri"/>
          <w:b/>
          <w:bCs/>
          <w:color w:val="0B5C8A"/>
          <w:sz w:val="34"/>
          <w:szCs w:val="34"/>
        </w:rPr>
        <w:t xml:space="preserve">5.5  İşgücü Devri ve Elde Tutma Metrikleri</w:t>
      </w:r>
    </w:p>
    <w:p>
      <w:pPr>
        <w:keepNext/>
        <w:pBdr>
          <w:bottom w:val="single" w:color="0B5C8A" w:sz="8" w:space="6"/>
        </w:pBdr>
        <w:spacing w:after="220"/>
      </w:pPr>
      <w:r>
        <w:rPr>
          <w:rFonts w:ascii="Calibri" w:cs="Calibri" w:eastAsia="Calibri" w:hAnsi="Calibri"/>
          <w:i/>
          <w:iCs/>
          <w:color w:val="59636F"/>
          <w:sz w:val="26"/>
          <w:szCs w:val="26"/>
        </w:rPr>
        <w:t xml:space="preserve">ISO/TS 30421:2021 — İşgücü devrini ve elde tutmayı ölçmek, maliyetlendirmek ve karşılaştırılabilir biçimde raporlamak.</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ISO/TS 30421, bir kuruluşun işgücü devrini (turnover) ve elde tutma (retention) düzeyini ölçmek, maliyetlendirmek ve karşılaştırılabilir biçimde raporlamak için kullanılan bir teknik şartnamedir. Belge iki şey yapar: Kaba oranların nasıl hesaplanacağını tanımlar ve bu oranların bağlam olmadan yorumlanamayacağını gösterir. Bu bölüm, Kısım 5’in son halkasıdır: Önceki bölümlerde ölçülen bağlılık, kültür, kapsayıcılık ve güvenlik sonuçta çalışanın kalıp kalmadığıyla görünür hâle gelir.</w:t>
      </w:r>
    </w:p>
    <w:p>
      <w:pPr>
        <w:spacing w:after="140" w:line="288"/>
        <w:jc w:val="left"/>
      </w:pPr>
      <w:r>
        <w:rPr>
          <w:rFonts w:ascii="Calibri" w:cs="Calibri" w:eastAsia="Calibri" w:hAnsi="Calibri"/>
          <w:sz w:val="22"/>
          <w:szCs w:val="22"/>
        </w:rPr>
        <w:t xml:space="preserve">Şartnamenin ilişkili belgeleri bu bölümün kitaptaki yerini gösterir: ISO 30409 (Kısım 2) devrin plana uyup uymadığını, ISO/TS 30407 (Kısım 3) yerine koymanın maliyetini, ISO/TS 30410 ve 30411 (Kısım 3) yeni işe alımın niteliğini ve etkisini belirler. İşgücü devri bu nedenle hem bir sonuç hem de çok sayıda önceki kararın toplamıdır.</w:t>
      </w:r>
    </w:p>
    <w:p>
      <w:pPr>
        <w:pStyle w:val="Heading2"/>
        <w:keepNext/>
        <w:spacing w:after="110" w:before="320"/>
      </w:pPr>
      <w:r>
        <w:rPr>
          <w:rFonts w:ascii="Calibri" w:cs="Calibri" w:eastAsia="Calibri" w:hAnsi="Calibri"/>
          <w:b/>
          <w:bCs/>
          <w:sz w:val="27"/>
          <w:szCs w:val="27"/>
        </w:rPr>
        <w:t xml:space="preserve">Üç ölçme amacı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438"/>
      </w:tblGrid>
      <w:tr>
        <w:trPr>
          <w:cantSplit/>
          <w:tblHeader/>
        </w:trPr>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Amaç</w:t>
            </w:r>
          </w:p>
        </w:tc>
        <w:tc>
          <w:tcPr>
            <w:tcW w:type="dxa" w:w="5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yapılır?</w:t>
            </w:r>
          </w:p>
        </w:tc>
        <w:tc>
          <w:tcPr>
            <w:tcW w:type="dxa" w:w="2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Tipik çıktı</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İç kıyaslama</w:t>
            </w:r>
          </w:p>
        </w:tc>
        <w:tc>
          <w:tcPr>
            <w:tcW w:type="dxa" w:w="5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Kurumun kendi birimleri, dönemleri ve iş aileleri karşılaştırılır; sıcak noktalar hedeflenir, elde tutma girişimlerinin başarısı ölçülür</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Dönemler arası eğilim, birim sıralaması</w:t>
            </w:r>
          </w:p>
        </w:tc>
      </w:tr>
      <w:tr>
        <w:trPr>
          <w:cantSplit/>
        </w:trPr>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Dış kıyaslama</w:t>
            </w:r>
          </w:p>
        </w:tc>
        <w:tc>
          <w:tcPr>
            <w:tcW w:type="dxa" w:w="5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Sektör ortalaması, bölge verisi ya da kıyaslama kulübü verisiyle karşılaştırılır</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Sektöre göre konum, fark analizi</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Nedeni anlama</w:t>
            </w:r>
          </w:p>
        </w:tc>
        <w:tc>
          <w:tcPr>
            <w:tcW w:type="dxa" w:w="5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Çıkış görüşmesi, memnuniyet anketi, çevrimiçi işveren değerlendirme siteleri, ayrılma sonrası anket ve kalanların analizi</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Kaçınılabilir ve kaçınılamaz ayrılma dağılımı</w:t>
            </w:r>
          </w:p>
        </w:tc>
      </w:tr>
    </w:tbl>
    <w:p>
      <w:pPr>
        <w:spacing w:after="140"/>
      </w:pPr>
    </w:p>
    <w:p>
      <w:pPr>
        <w:pStyle w:val="Heading2"/>
        <w:keepNext/>
        <w:spacing w:after="110" w:before="320"/>
      </w:pPr>
      <w:r>
        <w:rPr>
          <w:rFonts w:ascii="Calibri" w:cs="Calibri" w:eastAsia="Calibri" w:hAnsi="Calibri"/>
          <w:b/>
          <w:bCs/>
          <w:sz w:val="27"/>
          <w:szCs w:val="27"/>
        </w:rPr>
        <w:t xml:space="preserve">Devir türlerinin dört ayrımı</w:t>
      </w:r>
    </w:p>
    <w:p>
      <w:pPr>
        <w:spacing w:after="140" w:line="288"/>
        <w:jc w:val="left"/>
      </w:pPr>
      <w:r>
        <w:rPr>
          <w:rFonts w:ascii="Calibri" w:cs="Calibri" w:eastAsia="Calibri" w:hAnsi="Calibri"/>
          <w:sz w:val="22"/>
          <w:szCs w:val="22"/>
        </w:rPr>
        <w:t xml:space="preserve">Şartnamenin en öğretici katkısı, devrin tek bir sayı olmadığını göstermesidir. Aynı yüzde, tamamen farklı olgulara karşılık gelebilir. Dört ayrım bu nedenle birlikte kullanılır.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3038"/>
      </w:tblGrid>
      <w:tr>
        <w:trPr>
          <w:cantSplit/>
          <w:tblHeader/>
        </w:trPr>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Ayrım</w:t>
            </w:r>
          </w:p>
        </w:tc>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Birinci tür</w:t>
            </w:r>
          </w:p>
        </w:tc>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İkinci tür</w:t>
            </w:r>
          </w:p>
        </w:tc>
        <w:tc>
          <w:tcPr>
            <w:tcW w:type="dxa" w:w="30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Neden önemli?</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Kararı kim verdi?</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Gönüllü (çalışan ayrılır)</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Gönülsüz (işveren sonlandırır)</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Gönüllü devir işverenleri karşılaştırmakta kullanılan ölçüdür ve en çok ilk kademe yöneticiden etkilenir</w:t>
            </w:r>
          </w:p>
        </w:tc>
      </w:tr>
      <w:tr>
        <w:trPr>
          <w:cantSplit/>
        </w:trPr>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Yönetimin denetiminde mi?</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Kaçınılamaz (sağlık, taşınma, kişisel)</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Kaçınılabilir (bir tür memnuniyetsizlik)</w:t>
            </w:r>
          </w:p>
        </w:tc>
        <w:tc>
          <w:tcPr>
            <w:tcW w:type="dxa" w:w="3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Yalnızca kaçınılabilir kısım müdahaleye açıktır</w:t>
            </w:r>
          </w:p>
        </w:tc>
      </w:tr>
      <w:tr>
        <w:trPr>
          <w:cantSplit/>
        </w:trPr>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Kuruma etkisi</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İşlevsel (düşük performansın çıkışı, yeni fikir girişi)</w:t>
            </w:r>
          </w:p>
        </w:tc>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İşlevsiz (beceri ve bilgi kaybı)</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Kaba oran ikisini ayırmaz; düşen oran her zaman iyi haber değildir</w:t>
            </w:r>
          </w:p>
        </w:tc>
      </w:tr>
      <w:tr>
        <w:trPr>
          <w:cantSplit/>
        </w:trPr>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Kurum ne hissediyor?</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Üzücü olmayan</w:t>
            </w:r>
          </w:p>
        </w:tc>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Üzücü (regrettable)</w:t>
            </w:r>
          </w:p>
        </w:tc>
        <w:tc>
          <w:tcPr>
            <w:tcW w:type="dxa" w:w="3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Üzücü devir çoğu kurumda kritik kadroyla örtüşür</w:t>
            </w:r>
          </w:p>
        </w:tc>
      </w:tr>
    </w:tbl>
    <w:p>
      <w:pPr>
        <w:spacing w:after="140"/>
      </w:pPr>
    </w:p>
    <w:p>
      <w:pPr>
        <w:spacing w:after="140" w:line="288"/>
        <w:jc w:val="left"/>
      </w:pPr>
      <w:r>
        <w:rPr>
          <w:rFonts w:ascii="Calibri" w:cs="Calibri" w:eastAsia="Calibri" w:hAnsi="Calibri"/>
          <w:sz w:val="22"/>
          <w:szCs w:val="22"/>
        </w:rPr>
        <w:t xml:space="preserve">Bu ayrımlar bir yönetim önceliği çıkarır: Asıl hedef üzücü devirdir. Kurumun elde tutmak istediği kişinin gönüllü ayrılması beceri ve kurumsal bilgi kaybı, yeniden kadrolama maliyeti, verim düşüşü ve kalan ekipte moral etkisi yaratır. Düşük performansın ayrılması ise ücret tasarrufu ve yeni beceri girişi demektir; yani işlevsel devirdir. Sorun ayrılmaların işgücü planıyla uyumsuz olmasıdır, ayrılmanın kendisi değildir.</w:t>
      </w:r>
    </w:p>
    <w:p>
      <w:pPr>
        <w:pStyle w:val="Heading2"/>
        <w:keepNext/>
        <w:spacing w:after="110" w:before="320"/>
      </w:pPr>
      <w:r>
        <w:rPr>
          <w:rFonts w:ascii="Calibri" w:cs="Calibri" w:eastAsia="Calibri" w:hAnsi="Calibri"/>
          <w:b/>
          <w:bCs/>
          <w:sz w:val="27"/>
          <w:szCs w:val="27"/>
        </w:rPr>
        <w:t xml:space="preserve">Üç nicel yöntem</w:t>
      </w:r>
    </w:p>
    <w:p>
      <w:pPr>
        <w:pStyle w:val="ListParagraph"/>
        <w:numPr>
          <w:ilvl w:val="0"/>
          <w:numId w:val="2"/>
        </w:numPr>
        <w:spacing w:after="80" w:line="280"/>
      </w:pPr>
      <w:r>
        <w:rPr>
          <w:rFonts w:ascii="Calibri" w:cs="Calibri" w:eastAsia="Calibri" w:hAnsi="Calibri"/>
          <w:b/>
          <w:bCs/>
          <w:sz w:val="22"/>
          <w:szCs w:val="22"/>
        </w:rPr>
        <w:t xml:space="preserve">Kaba oran (crude rate):</w:t>
      </w:r>
      <w:r>
        <w:rPr>
          <w:rFonts w:ascii="Calibri" w:cs="Calibri" w:eastAsia="Calibri" w:hAnsi="Calibri"/>
          <w:sz w:val="22"/>
          <w:szCs w:val="22"/>
        </w:rPr>
        <w:t xml:space="preserve"> Ayrılan sayısının ortalama mevcuda bölünmesi. Hızlıdır ve kıyaslanabilir, ama tek başına yorumlanamaz.</w:t>
      </w:r>
    </w:p>
    <w:p>
      <w:pPr>
        <w:pStyle w:val="ListParagraph"/>
        <w:numPr>
          <w:ilvl w:val="0"/>
          <w:numId w:val="2"/>
        </w:numPr>
        <w:spacing w:after="80" w:line="280"/>
      </w:pPr>
      <w:r>
        <w:rPr>
          <w:rFonts w:ascii="Calibri" w:cs="Calibri" w:eastAsia="Calibri" w:hAnsi="Calibri"/>
          <w:b/>
          <w:bCs/>
          <w:sz w:val="22"/>
          <w:szCs w:val="22"/>
        </w:rPr>
        <w:t xml:space="preserve">İstikrar oranı (stability rate):</w:t>
      </w:r>
      <w:r>
        <w:rPr>
          <w:rFonts w:ascii="Calibri" w:cs="Calibri" w:eastAsia="Calibri" w:hAnsi="Calibri"/>
          <w:sz w:val="22"/>
          <w:szCs w:val="22"/>
        </w:rPr>
        <w:t xml:space="preserve"> Kişilerin kurumda ne kadar kaldığını gösterir; kaba oranın gizlediği “dönen kapı” etkisini ortaya çıkarır.</w:t>
      </w:r>
    </w:p>
    <w:p>
      <w:pPr>
        <w:pStyle w:val="ListParagraph"/>
        <w:numPr>
          <w:ilvl w:val="0"/>
          <w:numId w:val="2"/>
        </w:numPr>
        <w:spacing w:after="80" w:line="280"/>
      </w:pPr>
      <w:r>
        <w:rPr>
          <w:rFonts w:ascii="Calibri" w:cs="Calibri" w:eastAsia="Calibri" w:hAnsi="Calibri"/>
          <w:b/>
          <w:bCs/>
          <w:sz w:val="22"/>
          <w:szCs w:val="22"/>
        </w:rPr>
        <w:t xml:space="preserve">Kohort analizi:</w:t>
      </w:r>
      <w:r>
        <w:rPr>
          <w:rFonts w:ascii="Calibri" w:cs="Calibri" w:eastAsia="Calibri" w:hAnsi="Calibri"/>
          <w:sz w:val="22"/>
          <w:szCs w:val="22"/>
        </w:rPr>
        <w:t xml:space="preserve"> Belirli bir grubun (bir yılın işe alımları, bir programın mezunları, bir birim) zaman içinde ne kadarının kaldığını izler.</w:t>
      </w:r>
    </w:p>
    <w:p>
      <w:pPr>
        <w:pStyle w:val="Heading2"/>
        <w:keepNext/>
        <w:spacing w:after="110" w:before="320"/>
      </w:pPr>
      <w:r>
        <w:rPr>
          <w:rFonts w:ascii="Calibri" w:cs="Calibri" w:eastAsia="Calibri" w:hAnsi="Calibri"/>
          <w:b/>
          <w:bCs/>
          <w:sz w:val="27"/>
          <w:szCs w:val="27"/>
        </w:rPr>
        <w:t xml:space="preserve">Devir oranının hesabı: Aylık payda, yıllık toplam</w:t>
      </w:r>
    </w:p>
    <w:p>
      <w:pPr>
        <w:spacing w:after="140" w:line="288"/>
        <w:jc w:val="left"/>
      </w:pPr>
      <w:r>
        <w:rPr>
          <w:rFonts w:ascii="Calibri" w:cs="Calibri" w:eastAsia="Calibri" w:hAnsi="Calibri"/>
          <w:sz w:val="22"/>
          <w:szCs w:val="22"/>
        </w:rPr>
        <w:t xml:space="preserve">Şartnamenin temel hesap kuralı şudur: Payda aylıktır, oran yıllıktır. Aylık devir, o ayın ortalama mevcuduna (ay başı ve ay sonu mevcudunun ortalaması) bölünür; yıllık oran bu on iki aylık oranın toplamıdır. Yıl boyunca tek bir ortalamaya bölmek, işgücü büyüyen ya da küçülen kurumlarda sapma üretir.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Aylık ve yıllık devir (kurgusal)</w:t>
            </w:r>
          </w:p>
          <w:p>
            <w:pPr>
              <w:spacing w:after="0" w:line="276"/>
            </w:pPr>
            <w:r>
              <w:rPr>
                <w:rFonts w:ascii="Calibri" w:cs="Calibri" w:eastAsia="Calibri" w:hAnsi="Calibri"/>
                <w:sz w:val="21"/>
                <w:szCs w:val="21"/>
              </w:rPr>
              <w:t xml:space="preserve">Anadolu Örnek A.Ş.’de mart ayında ay başı mevcut 1.190, ay sonu mevcut 1.210, ayrılan 12 kişi olsun. Ortalama mevcut = (1.190 + 1.210) ÷ 2 = 1.200. Aylık devir = 12 ÷ 1.200 × 100 = %1,0. On iki aylık oranlar sırasıyla 1,0; 0,8; 1,2; 0,9; 1,1; 1,3; 1,0; 0,7; 1,2; 1,5; 0,9; 0,8 ise yıllık devir = toplamları = %12,4’tür.</w:t>
            </w:r>
          </w:p>
        </w:tc>
      </w:tr>
    </w:tbl>
    <w:p>
      <w:pPr>
        <w:spacing w:after="120"/>
      </w:pPr>
    </w:p>
    <w:p>
      <w:pPr>
        <w:spacing w:after="140" w:line="288"/>
        <w:jc w:val="left"/>
      </w:pPr>
      <w:r>
        <w:rPr>
          <w:rFonts w:ascii="Calibri" w:cs="Calibri" w:eastAsia="Calibri" w:hAnsi="Calibri"/>
          <w:sz w:val="22"/>
          <w:szCs w:val="22"/>
        </w:rPr>
        <w:t xml:space="preserve">Yıllık devir %12,4 ise, basit elde tutma oranı 100 − 12,4 = %87,6 olarak yazılabilir. Yıl içinde ayrılan yaklaşık 149 kişi (1.200 × %12,4), yerine konulması gereken kadro anlamına gelir. Bu sayı doğrudan Kısım 2’deki işgücü planının ve Kısım 3’teki işe alım kapasitesinin girdisidir: İşe alım ekibinin yıl içinde yalnızca büyüme için değil, devri telafi etmek için de 149 kişi bulması gerekmektedir.</w:t>
      </w:r>
    </w:p>
    <w:p>
      <w:pPr>
        <w:pStyle w:val="Heading2"/>
        <w:keepNext/>
        <w:spacing w:after="110" w:before="320"/>
      </w:pPr>
      <w:r>
        <w:rPr>
          <w:rFonts w:ascii="Calibri" w:cs="Calibri" w:eastAsia="Calibri" w:hAnsi="Calibri"/>
          <w:b/>
          <w:bCs/>
          <w:sz w:val="27"/>
          <w:szCs w:val="27"/>
        </w:rPr>
        <w:t xml:space="preserve">Kritik kadroda devir</w:t>
      </w:r>
    </w:p>
    <w:p>
      <w:pPr>
        <w:spacing w:after="140" w:line="288"/>
        <w:jc w:val="left"/>
      </w:pPr>
      <w:r>
        <w:rPr>
          <w:rFonts w:ascii="Calibri" w:cs="Calibri" w:eastAsia="Calibri" w:hAnsi="Calibri"/>
          <w:sz w:val="22"/>
          <w:szCs w:val="22"/>
        </w:rPr>
        <w:t xml:space="preserve">Kritik pozisyon, kurumsal sonuçlar üzerinde doğrudan ve belirgin etkisi olan roldür; güvenlik, iş sağlığı, büyüme ve sürdürülebilirlik gibi ölçütlerle belirlenir ve üst düzey olması gerekmez (Kısım 3.5). Kritik kadroda devir, toplam işgücüne değil, o grubun ortalama mevcuduna bölünür. Çünkü otuz kişilik kritik gruptan yılda yirmi beş kişinin ayrılması, toplam işgücüne göre küçük görünür ama kritik grupta çok yüksek bir orandır.</w:t>
      </w:r>
    </w:p>
    <w:p>
      <w:pPr>
        <w:spacing w:after="140" w:line="288"/>
        <w:jc w:val="left"/>
      </w:pPr>
      <w:r>
        <w:rPr>
          <w:rFonts w:ascii="Calibri" w:cs="Calibri" w:eastAsia="Calibri" w:hAnsi="Calibri"/>
          <w:sz w:val="22"/>
          <w:szCs w:val="22"/>
        </w:rPr>
        <w:t xml:space="preserve">Kurgusal şirketimizde 40 kişilik bir kritik kadro vardır; yıl içinde 6 kritik çalışan ayrılmıştır. Kritik devir = 6 ÷ 40 × 100 = %15,0’dır; genel devir (%12,4) ile yakın görünür, ama burada ayrılanların çoğu işlevsiz ve üzücüdür. ISO/TS 30410’daki formülle bu 6 ayrılışın etkisi (boşluk kaybı) hesaplanabilir; kritik pozisyonlar için yedekleme havuzu (ISO/TS 30433) bu devrin etkisini azaltır.</w:t>
      </w:r>
    </w:p>
    <w:p>
      <w:pPr>
        <w:pStyle w:val="Heading2"/>
        <w:keepNext/>
        <w:spacing w:after="110" w:before="320"/>
      </w:pPr>
      <w:r>
        <w:rPr>
          <w:rFonts w:ascii="Calibri" w:cs="Calibri" w:eastAsia="Calibri" w:hAnsi="Calibri"/>
          <w:b/>
          <w:bCs/>
          <w:sz w:val="27"/>
          <w:szCs w:val="27"/>
        </w:rPr>
        <w:t xml:space="preserve">Elde tutma oranları</w:t>
      </w:r>
    </w:p>
    <w:p>
      <w:pPr>
        <w:spacing w:after="140" w:line="288"/>
        <w:jc w:val="left"/>
      </w:pPr>
      <w:r>
        <w:rPr>
          <w:rFonts w:ascii="Calibri" w:cs="Calibri" w:eastAsia="Calibri" w:hAnsi="Calibri"/>
          <w:sz w:val="22"/>
          <w:szCs w:val="22"/>
        </w:rPr>
        <w:t xml:space="preserve">Devir oranı ile elde tutma oranı birbirinin aynası değildir. Aynı üç pozisyon yıl içinde defalarca el değiştirirse devir oranı yüksek, pozisyon temelli elde tutma oranı yine de %97 çıkabilir. Yüksek devirli işlerde (perakende, çağrı merkezi, konaklama) iki ölçü birlikte verilir.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438"/>
      </w:tblGrid>
      <w:tr>
        <w:trPr>
          <w:cantSplit/>
          <w:tblHeader/>
        </w:trPr>
        <w:tc>
          <w:tcPr>
            <w:tcW w:type="dxa" w:w="2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Ölçü</w:t>
            </w:r>
          </w:p>
        </w:tc>
        <w:tc>
          <w:tcPr>
            <w:tcW w:type="dxa" w:w="4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2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zaman?</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Basit elde tutma</w:t>
            </w:r>
          </w:p>
        </w:tc>
        <w:tc>
          <w:tcPr>
            <w:tcW w:type="dxa" w:w="4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100 − yıllık devir oranı</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Devir düşükse</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Yüksek devirli elde tutma</w:t>
            </w:r>
          </w:p>
        </w:tc>
        <w:tc>
          <w:tcPr>
            <w:tcW w:type="dxa" w:w="4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 başı mevcut − toplam ayrılma + yeni çalışan ayrılması) ÷ dönem başı mevcut × 100</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Devir yüksekse; yıl içinde işe alınıp ayrılanlar paya geri eklenir</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Pozisyon temelli elde tutma</w:t>
            </w:r>
          </w:p>
        </w:tc>
        <w:tc>
          <w:tcPr>
            <w:tcW w:type="dxa" w:w="4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Korunan pozisyon ÷ toplam pozisyon × 100</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Aynı pozisyonun defalarca el değiştirdiği işlerde</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İstikrar oranı</w:t>
            </w:r>
          </w:p>
        </w:tc>
        <w:tc>
          <w:tcPr>
            <w:tcW w:type="dxa" w:w="4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yıldan kıdemli çalışan ÷ bir yıl önceki mevcut × 100</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“Dönen kapı” etkisini görmek için</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Ortalama kıdem</w:t>
            </w:r>
          </w:p>
        </w:tc>
        <w:tc>
          <w:tcPr>
            <w:tcW w:type="dxa" w:w="4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Kümülatif kıdem (ay) ÷ kişi sayısı</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bir kez, dönem sonunda</w:t>
            </w:r>
          </w:p>
        </w:tc>
      </w:tr>
    </w:tbl>
    <w:p>
      <w:pPr>
        <w:spacing w:after="140"/>
      </w:pPr>
    </w:p>
    <w:p>
      <w:pPr>
        <w:spacing w:after="140" w:line="288"/>
        <w:jc w:val="left"/>
      </w:pPr>
      <w:r>
        <w:rPr>
          <w:rFonts w:ascii="Calibri" w:cs="Calibri" w:eastAsia="Calibri" w:hAnsi="Calibri"/>
          <w:sz w:val="22"/>
          <w:szCs w:val="22"/>
        </w:rPr>
        <w:t xml:space="preserve">Yüksek devirli elde tutma formülünün şartnamedeki yazımı bir belirsizlik taşır: Formülün paydası metinde “dönem başı mevcut + yeni alım” olarak yazılır, ancak sayısal örnek yalnızca dönem başı mevcuda bölerek %59 verir; yazılı formül aynı veriyle %26,3 üretir. Ortalama kıdem örneğinde de 14.566 ay ÷ 100 kişi = 145,66 ay bulunur ve bu “1 yıl 4 ay” yazılır; oysa 145,66 ay yaklaşık 12,1 yıldır. Bu tutarsızlıklar, kurum içi tanımın yazılı olarak sabitlenmesi ve paydanın raporda belirtilmesi gerektiğini gösterir.</w:t>
      </w:r>
    </w:p>
    <w:p>
      <w:pPr>
        <w:pStyle w:val="Heading3"/>
        <w:keepNext/>
        <w:spacing w:after="80" w:before="220"/>
      </w:pPr>
      <w:r>
        <w:rPr>
          <w:rFonts w:ascii="Calibri" w:cs="Calibri" w:eastAsia="Calibri" w:hAnsi="Calibri"/>
          <w:b/>
          <w:bCs/>
          <w:color w:val="0B5C8A"/>
          <w:sz w:val="23"/>
          <w:szCs w:val="23"/>
        </w:rPr>
        <w:t xml:space="preserve">Kurgusal örnek: İstikrar oranı</w:t>
      </w:r>
    </w:p>
    <w:p>
      <w:pPr>
        <w:spacing w:after="140" w:line="288"/>
        <w:jc w:val="left"/>
      </w:pPr>
      <w:r>
        <w:rPr>
          <w:rFonts w:ascii="Calibri" w:cs="Calibri" w:eastAsia="Calibri" w:hAnsi="Calibri"/>
          <w:sz w:val="22"/>
          <w:szCs w:val="22"/>
        </w:rPr>
        <w:t xml:space="preserve">Anadolu Örnek A.Ş.’de bir yıl önceki mevcut 1.150 kişiydi. Yıl sonunda bunların 1.020’si hâlâ çalışmaktadır (bir yıldan kıdemli). İstikrar oranı = 1.020 ÷ 1.150 × 100 = %88,7’dir. Kaba devir oranı %12,4’tür; iki sayı birbiriyle tutarlıdır. Ancak aynı dönemde işe alınıp yıl içinde ayrılanların sayısı yüksekse, kaba oran yüksek, istikrar oranı ise yüksek olabilir; bu fark, ayrılanların çoğunun yeni işe alınanlar olduğunu gösterir ve işe alım ile uyum sürecine bakmayı gerektirir.</w:t>
      </w:r>
    </w:p>
    <w:p>
      <w:pPr>
        <w:pStyle w:val="Heading2"/>
        <w:keepNext/>
        <w:spacing w:after="110" w:before="320"/>
      </w:pPr>
      <w:r>
        <w:rPr>
          <w:rFonts w:ascii="Calibri" w:cs="Calibri" w:eastAsia="Calibri" w:hAnsi="Calibri"/>
          <w:b/>
          <w:bCs/>
          <w:sz w:val="27"/>
          <w:szCs w:val="27"/>
        </w:rPr>
        <w:t xml:space="preserve">Devir maliyeti</w:t>
      </w:r>
    </w:p>
    <w:p>
      <w:pPr>
        <w:spacing w:after="140" w:line="288"/>
        <w:jc w:val="left"/>
      </w:pPr>
      <w:r>
        <w:rPr>
          <w:rFonts w:ascii="Calibri" w:cs="Calibri" w:eastAsia="Calibri" w:hAnsi="Calibri"/>
          <w:sz w:val="22"/>
          <w:szCs w:val="22"/>
        </w:rPr>
        <w:t xml:space="preserve">Şartnamenin pratik mesajı şudur: Oran karar aldırmaz, tutar aldırır. Ayrılma, işe alım ve hıza erişme maliyetleri hesaplanmadan elde tutma stratejisine üst yönetim desteği almak zordur. Toplam devir maliyeti üç ana bileşenin toplamıdır: ayrılma işlemleri (çıkış görüşmesi, idari zaman, tazminatlar), yerine alma (Kısım 3.3’teki işe alım başına maliyet) ve hıza erişme (yeni çalışanın tam verimliliğe ulaşana kadarki verim kaybı).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cantSplit/>
          <w:tblHeader/>
        </w:trPr>
        <w:tc>
          <w:tcPr>
            <w:tcW w:type="dxa" w:w="6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Kalem</w:t>
            </w:r>
          </w:p>
        </w:tc>
        <w:tc>
          <w:tcPr>
            <w:tcW w:type="dxa" w:w="3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Ayrılan başına (TL)</w:t>
            </w:r>
          </w:p>
        </w:tc>
      </w:tr>
      <w:tr>
        <w:trPr>
          <w:cantSplit/>
        </w:trPr>
        <w:tc>
          <w:tcPr>
            <w:tcW w:type="dxa" w:w="6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Ayrılma işlemleri</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8.000</w:t>
            </w:r>
          </w:p>
        </w:tc>
      </w:tr>
      <w:tr>
        <w:trPr>
          <w:cantSplit/>
        </w:trPr>
        <w:tc>
          <w:tcPr>
            <w:tcW w:type="dxa" w:w="6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Yerine alma (işe alım başına maliyet)</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28.000</w:t>
            </w:r>
          </w:p>
        </w:tc>
      </w:tr>
      <w:tr>
        <w:trPr>
          <w:cantSplit/>
        </w:trPr>
        <w:tc>
          <w:tcPr>
            <w:tcW w:type="dxa" w:w="6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Hıza erişme (verim kaybı)</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26.000</w:t>
            </w:r>
          </w:p>
        </w:tc>
      </w:tr>
      <w:tr>
        <w:trPr>
          <w:cantSplit/>
        </w:trPr>
        <w:tc>
          <w:tcPr>
            <w:tcW w:type="dxa" w:w="6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62.000</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Yıllık devir maliyeti (kurgusal)</w:t>
            </w:r>
          </w:p>
          <w:p>
            <w:pPr>
              <w:spacing w:after="0" w:line="276"/>
            </w:pPr>
            <w:r>
              <w:rPr>
                <w:rFonts w:ascii="Calibri" w:cs="Calibri" w:eastAsia="Calibri" w:hAnsi="Calibri"/>
                <w:sz w:val="21"/>
                <w:szCs w:val="21"/>
              </w:rPr>
              <w:t xml:space="preserve">Yıllık yaklaşık 149 ayrılma × 62.000 TL = 9.238.000 TL. Bu tutar, doğrudan ve belgelenebilir kalemlerle başlayan bir alt sınırdır; verim kaybı, kurumsal bilgi kaybı ve ekip üzerindeki etki tam yakalanmamışsa gerçek maliyet daha yüksektir. Türkiye’de kıdem tazminatı, ihbar süresi ve hukuki giderler tutarın büyük bölümünü oluşturabilir.</w:t>
            </w:r>
          </w:p>
        </w:tc>
      </w:tr>
    </w:tbl>
    <w:p>
      <w:pPr>
        <w:spacing w:after="120"/>
      </w:pPr>
    </w:p>
    <w:p>
      <w:pPr>
        <w:spacing w:after="140" w:line="288"/>
        <w:jc w:val="left"/>
      </w:pPr>
      <w:r>
        <w:rPr>
          <w:rFonts w:ascii="Calibri" w:cs="Calibri" w:eastAsia="Calibri" w:hAnsi="Calibri"/>
          <w:sz w:val="22"/>
          <w:szCs w:val="22"/>
        </w:rPr>
        <w:t xml:space="preserve">Bu tutar, bir elde tutma yatırımının eşiğini belirler. Eğer bir yönetici gelişim programı gönüllü devri 12,4’ten 10,4’e (yaklaşık 24 kişi daha az ayrılma) indirebiliyorsa, yıllık kazanç 24 × 62.000 = 1.488.000 TL’dir. Programın maliyeti bu tutarın altındaysa yatırım kendini karşılar. Bu hesabın bir kurgusal örnek olduğu ve nedensellik iddiası taşımadığı akılda tutulmalıdır; ama büyüklük sırasını gösterir.</w:t>
      </w:r>
    </w:p>
    <w:p>
      <w:pPr>
        <w:pStyle w:val="Heading3"/>
        <w:keepNext/>
        <w:spacing w:after="80" w:before="220"/>
      </w:pPr>
      <w:r>
        <w:rPr>
          <w:rFonts w:ascii="Calibri" w:cs="Calibri" w:eastAsia="Calibri" w:hAnsi="Calibri"/>
          <w:b/>
          <w:bCs/>
          <w:color w:val="0B5C8A"/>
          <w:sz w:val="23"/>
          <w:szCs w:val="23"/>
        </w:rPr>
        <w:t xml:space="preserve">Kurgusal örnek: Kohort analizi</w:t>
      </w:r>
    </w:p>
    <w:p>
      <w:pPr>
        <w:spacing w:after="140" w:line="288"/>
        <w:jc w:val="left"/>
      </w:pPr>
      <w:r>
        <w:rPr>
          <w:rFonts w:ascii="Calibri" w:cs="Calibri" w:eastAsia="Calibri" w:hAnsi="Calibri"/>
          <w:sz w:val="22"/>
          <w:szCs w:val="22"/>
        </w:rPr>
        <w:t xml:space="preserve">Anadolu Örnek A.Ş.’nin geçen yıl işe aldığı 120 kişilik kohort, bir yıl sonunda şöyle görünmektedir: 6. ayda 108 kişi kalmıştır (%90), 12. ayda 96 kişi (%80). Aynı kurumdaki genel yıllık devir %12,4’tür. İlk yılda %20’lik kayıp, genel devirden belirgin biçimde yüksektir; yani sorun mevcut çalışanların bağlılığından çok işe alım ve uyum sürecindedir. Kohort analizi bunu görünür kılar; kaba oran ise yalnızca tüm kurumun ortalamasını gösterir. Şartnamenin deneme dönemi kayıplarını “olası işe alım sorunları”, bir ile iki yıl arasındaki kayıpları “yaşanan kültürün beyan edilenden farklı olması” olarak yorumlamasının nedeni budur. Bu örnek kurgusaldır; Kısım 3.4’teki işe alım kalitesi ve ISO 30405’in ön-uyum aşamasıyla doğrudan ilişkilidir.</w:t>
      </w:r>
    </w:p>
    <w:p>
      <w:pPr>
        <w:pStyle w:val="Heading2"/>
        <w:keepNext/>
        <w:spacing w:after="110" w:before="320"/>
      </w:pPr>
      <w:r>
        <w:rPr>
          <w:rFonts w:ascii="Calibri" w:cs="Calibri" w:eastAsia="Calibri" w:hAnsi="Calibri"/>
          <w:b/>
          <w:bCs/>
          <w:sz w:val="27"/>
          <w:szCs w:val="27"/>
        </w:rPr>
        <w:t xml:space="preserve">Yorum kuralları</w:t>
      </w:r>
    </w:p>
    <w:p>
      <w:pPr>
        <w:pStyle w:val="ListParagraph"/>
        <w:numPr>
          <w:ilvl w:val="0"/>
          <w:numId w:val="2"/>
        </w:numPr>
        <w:spacing w:after="80" w:line="280"/>
      </w:pPr>
      <w:r>
        <w:rPr>
          <w:rFonts w:ascii="Calibri" w:cs="Calibri" w:eastAsia="Calibri" w:hAnsi="Calibri"/>
          <w:b/>
          <w:bCs/>
          <w:sz w:val="22"/>
          <w:szCs w:val="22"/>
        </w:rPr>
        <w:t xml:space="preserve">Devir oranının “iyi” bir eşiği yoktur.</w:t>
      </w:r>
      <w:r>
        <w:rPr>
          <w:rFonts w:ascii="Calibri" w:cs="Calibri" w:eastAsia="Calibri" w:hAnsi="Calibri"/>
          <w:sz w:val="22"/>
          <w:szCs w:val="22"/>
        </w:rPr>
        <w:t xml:space="preserve"> Perakende ve çağrı merkezinde %40 olağan, mühendislikte %10 yüksek sayılabilir.</w:t>
      </w:r>
    </w:p>
    <w:p>
      <w:pPr>
        <w:pStyle w:val="ListParagraph"/>
        <w:numPr>
          <w:ilvl w:val="0"/>
          <w:numId w:val="2"/>
        </w:numPr>
        <w:spacing w:after="80" w:line="280"/>
      </w:pPr>
      <w:r>
        <w:rPr>
          <w:rFonts w:ascii="Calibri" w:cs="Calibri" w:eastAsia="Calibri" w:hAnsi="Calibri"/>
          <w:b/>
          <w:bCs/>
          <w:sz w:val="22"/>
          <w:szCs w:val="22"/>
        </w:rPr>
        <w:t xml:space="preserve">Düşen devir her zaman iyi haber değildir.</w:t>
      </w:r>
      <w:r>
        <w:rPr>
          <w:rFonts w:ascii="Calibri" w:cs="Calibri" w:eastAsia="Calibri" w:hAnsi="Calibri"/>
          <w:sz w:val="22"/>
          <w:szCs w:val="22"/>
        </w:rPr>
        <w:t xml:space="preserve"> Daralan işgücü piyasasında düşük devir, düşük performansın da kurumda kaldığı anlamına gelebilir.</w:t>
      </w:r>
    </w:p>
    <w:p>
      <w:pPr>
        <w:pStyle w:val="ListParagraph"/>
        <w:numPr>
          <w:ilvl w:val="0"/>
          <w:numId w:val="2"/>
        </w:numPr>
        <w:spacing w:after="80" w:line="280"/>
      </w:pPr>
      <w:r>
        <w:rPr>
          <w:rFonts w:ascii="Calibri" w:cs="Calibri" w:eastAsia="Calibri" w:hAnsi="Calibri"/>
          <w:b/>
          <w:bCs/>
          <w:sz w:val="22"/>
          <w:szCs w:val="22"/>
        </w:rPr>
        <w:t xml:space="preserve">Gönüllü devir yöneticiyle ilişkilidir.</w:t>
      </w:r>
      <w:r>
        <w:rPr>
          <w:rFonts w:ascii="Calibri" w:cs="Calibri" w:eastAsia="Calibri" w:hAnsi="Calibri"/>
          <w:sz w:val="22"/>
          <w:szCs w:val="22"/>
        </w:rPr>
        <w:t xml:space="preserve"> Gönüllü devrin yönetici bazında kırılması, müdahaleyi hedefleyen en verimli tek adımdır.</w:t>
      </w:r>
    </w:p>
    <w:p>
      <w:pPr>
        <w:pStyle w:val="ListParagraph"/>
        <w:numPr>
          <w:ilvl w:val="0"/>
          <w:numId w:val="2"/>
        </w:numPr>
        <w:spacing w:after="80" w:line="280"/>
      </w:pPr>
      <w:r>
        <w:rPr>
          <w:rFonts w:ascii="Calibri" w:cs="Calibri" w:eastAsia="Calibri" w:hAnsi="Calibri"/>
          <w:b/>
          <w:bCs/>
          <w:sz w:val="22"/>
          <w:szCs w:val="22"/>
        </w:rPr>
        <w:t xml:space="preserve">Gönülsüz devirin gecikmeli maliyeti vardır.</w:t>
      </w:r>
      <w:r>
        <w:rPr>
          <w:rFonts w:ascii="Calibri" w:cs="Calibri" w:eastAsia="Calibri" w:hAnsi="Calibri"/>
          <w:sz w:val="22"/>
          <w:szCs w:val="22"/>
        </w:rPr>
        <w:t xml:space="preserve"> Küçültme ve yeniden yapılanma, uzun vadede yüksek gönüllü devirin sonucu olabilir; iki seriyi aynı grafikte izleyin.</w:t>
      </w:r>
    </w:p>
    <w:p>
      <w:pPr>
        <w:pStyle w:val="ListParagraph"/>
        <w:numPr>
          <w:ilvl w:val="0"/>
          <w:numId w:val="2"/>
        </w:numPr>
        <w:spacing w:after="80" w:line="280"/>
      </w:pPr>
      <w:r>
        <w:rPr>
          <w:rFonts w:ascii="Calibri" w:cs="Calibri" w:eastAsia="Calibri" w:hAnsi="Calibri"/>
          <w:b/>
          <w:bCs/>
          <w:sz w:val="22"/>
          <w:szCs w:val="22"/>
        </w:rPr>
        <w:t xml:space="preserve">Kritik kadroda düşük sayı yüksek oran demektir.</w:t>
      </w:r>
      <w:r>
        <w:rPr>
          <w:rFonts w:ascii="Calibri" w:cs="Calibri" w:eastAsia="Calibri" w:hAnsi="Calibri"/>
          <w:sz w:val="22"/>
          <w:szCs w:val="22"/>
        </w:rPr>
        <w:t xml:space="preserve"> Payda ayrı tutulur.</w:t>
      </w:r>
    </w:p>
    <w:p>
      <w:pPr>
        <w:pStyle w:val="ListParagraph"/>
        <w:numPr>
          <w:ilvl w:val="0"/>
          <w:numId w:val="2"/>
        </w:numPr>
        <w:spacing w:after="80" w:line="280"/>
      </w:pPr>
      <w:r>
        <w:rPr>
          <w:rFonts w:ascii="Calibri" w:cs="Calibri" w:eastAsia="Calibri" w:hAnsi="Calibri"/>
          <w:b/>
          <w:bCs/>
          <w:sz w:val="22"/>
          <w:szCs w:val="22"/>
        </w:rPr>
        <w:t xml:space="preserve">Maliyet raporlanırken kapsamı yazın.</w:t>
      </w:r>
      <w:r>
        <w:rPr>
          <w:rFonts w:ascii="Calibri" w:cs="Calibri" w:eastAsia="Calibri" w:hAnsi="Calibri"/>
          <w:sz w:val="22"/>
          <w:szCs w:val="22"/>
        </w:rPr>
        <w:t xml:space="preserve"> Verim kaybı ve bilgi kaybı dahil edilmediyse tutar alt sınırdır.</w:t>
      </w:r>
    </w:p>
    <w:p>
      <w:pPr>
        <w:pStyle w:val="Heading2"/>
        <w:keepNext/>
        <w:spacing w:after="110" w:before="320"/>
      </w:pPr>
      <w:r>
        <w:rPr>
          <w:rFonts w:ascii="Calibri" w:cs="Calibri" w:eastAsia="Calibri" w:hAnsi="Calibri"/>
          <w:b/>
          <w:bCs/>
          <w:sz w:val="27"/>
          <w:szCs w:val="27"/>
        </w:rPr>
        <w:t xml:space="preserve">Sık yapılan hatalar</w:t>
      </w:r>
    </w:p>
    <w:p>
      <w:pPr>
        <w:pStyle w:val="ListParagraph"/>
        <w:numPr>
          <w:ilvl w:val="0"/>
          <w:numId w:val="2"/>
        </w:numPr>
        <w:spacing w:after="80" w:line="280"/>
      </w:pPr>
      <w:r>
        <w:rPr>
          <w:rFonts w:ascii="Calibri" w:cs="Calibri" w:eastAsia="Calibri" w:hAnsi="Calibri"/>
          <w:b/>
          <w:bCs/>
          <w:sz w:val="22"/>
          <w:szCs w:val="22"/>
        </w:rPr>
        <w:t xml:space="preserve">Yıllık devri tek bir ortalamaya bölmek.</w:t>
      </w:r>
      <w:r>
        <w:rPr>
          <w:rFonts w:ascii="Calibri" w:cs="Calibri" w:eastAsia="Calibri" w:hAnsi="Calibri"/>
          <w:sz w:val="22"/>
          <w:szCs w:val="22"/>
        </w:rPr>
        <w:t xml:space="preserve"> Aylık payda kuralını kullanın.</w:t>
      </w:r>
    </w:p>
    <w:p>
      <w:pPr>
        <w:pStyle w:val="ListParagraph"/>
        <w:numPr>
          <w:ilvl w:val="0"/>
          <w:numId w:val="2"/>
        </w:numPr>
        <w:spacing w:after="80" w:line="280"/>
      </w:pPr>
      <w:r>
        <w:rPr>
          <w:rFonts w:ascii="Calibri" w:cs="Calibri" w:eastAsia="Calibri" w:hAnsi="Calibri"/>
          <w:b/>
          <w:bCs/>
          <w:sz w:val="22"/>
          <w:szCs w:val="22"/>
        </w:rPr>
        <w:t xml:space="preserve">Tüm devri aynı saymak.</w:t>
      </w:r>
      <w:r>
        <w:rPr>
          <w:rFonts w:ascii="Calibri" w:cs="Calibri" w:eastAsia="Calibri" w:hAnsi="Calibri"/>
          <w:sz w:val="22"/>
          <w:szCs w:val="22"/>
        </w:rPr>
        <w:t xml:space="preserve"> Gönüllü, kaçınılabilir ve üzücü devri ayırın.</w:t>
      </w:r>
    </w:p>
    <w:p>
      <w:pPr>
        <w:pStyle w:val="ListParagraph"/>
        <w:numPr>
          <w:ilvl w:val="0"/>
          <w:numId w:val="2"/>
        </w:numPr>
        <w:spacing w:after="80" w:line="280"/>
      </w:pPr>
      <w:r>
        <w:rPr>
          <w:rFonts w:ascii="Calibri" w:cs="Calibri" w:eastAsia="Calibri" w:hAnsi="Calibri"/>
          <w:b/>
          <w:bCs/>
          <w:sz w:val="22"/>
          <w:szCs w:val="22"/>
        </w:rPr>
        <w:t xml:space="preserve">Kritik kadroyu toplam işgücü içinde eritmek.</w:t>
      </w:r>
      <w:r>
        <w:rPr>
          <w:rFonts w:ascii="Calibri" w:cs="Calibri" w:eastAsia="Calibri" w:hAnsi="Calibri"/>
          <w:sz w:val="22"/>
          <w:szCs w:val="22"/>
        </w:rPr>
        <w:t xml:space="preserve"> Ayrı payda ile izleyin.</w:t>
      </w:r>
    </w:p>
    <w:p>
      <w:pPr>
        <w:pStyle w:val="ListParagraph"/>
        <w:numPr>
          <w:ilvl w:val="0"/>
          <w:numId w:val="2"/>
        </w:numPr>
        <w:spacing w:after="80" w:line="280"/>
      </w:pPr>
      <w:r>
        <w:rPr>
          <w:rFonts w:ascii="Calibri" w:cs="Calibri" w:eastAsia="Calibri" w:hAnsi="Calibri"/>
          <w:b/>
          <w:bCs/>
          <w:sz w:val="22"/>
          <w:szCs w:val="22"/>
        </w:rPr>
        <w:t xml:space="preserve">Yalnızca oranı raporlamak.</w:t>
      </w:r>
      <w:r>
        <w:rPr>
          <w:rFonts w:ascii="Calibri" w:cs="Calibri" w:eastAsia="Calibri" w:hAnsi="Calibri"/>
          <w:sz w:val="22"/>
          <w:szCs w:val="22"/>
        </w:rPr>
        <w:t xml:space="preserve"> Mutlak sayı ve maliyet olmadan eylem için destek bulmak zordur.</w:t>
      </w:r>
    </w:p>
    <w:p>
      <w:pPr>
        <w:pStyle w:val="ListParagraph"/>
        <w:numPr>
          <w:ilvl w:val="0"/>
          <w:numId w:val="2"/>
        </w:numPr>
        <w:spacing w:after="80" w:line="280"/>
      </w:pPr>
      <w:r>
        <w:rPr>
          <w:rFonts w:ascii="Calibri" w:cs="Calibri" w:eastAsia="Calibri" w:hAnsi="Calibri"/>
          <w:b/>
          <w:bCs/>
          <w:sz w:val="22"/>
          <w:szCs w:val="22"/>
        </w:rPr>
        <w:t xml:space="preserve">Çıkış görüşmesine tek kaynak olarak güvenmek.</w:t>
      </w:r>
      <w:r>
        <w:rPr>
          <w:rFonts w:ascii="Calibri" w:cs="Calibri" w:eastAsia="Calibri" w:hAnsi="Calibri"/>
          <w:sz w:val="22"/>
          <w:szCs w:val="22"/>
        </w:rPr>
        <w:t xml:space="preserve"> Ayrılma sonrası anket ve kalanlarla görüşme ekleyin.</w:t>
      </w:r>
    </w:p>
    <w:p>
      <w:pPr>
        <w:pStyle w:val="Heading2"/>
        <w:keepNext/>
        <w:spacing w:after="110" w:before="320"/>
      </w:pPr>
      <w:r>
        <w:rPr>
          <w:rFonts w:ascii="Calibri" w:cs="Calibri" w:eastAsia="Calibri" w:hAnsi="Calibri"/>
          <w:b/>
          <w:bCs/>
          <w:sz w:val="27"/>
          <w:szCs w:val="27"/>
        </w:rPr>
        <w:t xml:space="preserve">Ayrılma nedenini anlamak</w:t>
      </w:r>
    </w:p>
    <w:p>
      <w:pPr>
        <w:spacing w:after="140" w:line="288"/>
        <w:jc w:val="left"/>
      </w:pPr>
      <w:r>
        <w:rPr>
          <w:rFonts w:ascii="Calibri" w:cs="Calibri" w:eastAsia="Calibri" w:hAnsi="Calibri"/>
          <w:sz w:val="22"/>
          <w:szCs w:val="22"/>
        </w:rPr>
        <w:t xml:space="preserve">Devir oranının asıl değeri, nedeni anlamak için bir başlangıç noktası olmasıdır. Şartname çıkış görüşmesi, memnuniyet anketi, çevrimiçi işveren değerlendirme siteleri, ayrılma sonrası anket ve kalanların analizi gibi araçlar sayar. Bu araçların hepsinde yanlılık vardır: Ayrılan kişi köprüleri atmamak için gerçek nedeni her zaman söylemez. Ayrılmadan üç ila altı ay sonra yapılan anket ve kalanlarla yapılan görüşmeler bu yanlılığı azaltır. Ayrılma nedeni kodlama sistemi (istifa, emeklilik, küçültme, fesih; ardından gönüllü ve gönülsüz, kaçınılabilir ve kaçınılamaz) bu nedenle işe alım sisteminin tarih alanları kadar önemlidir.</w:t>
      </w:r>
    </w:p>
    <w:p>
      <w:pPr>
        <w:spacing w:after="140" w:line="288"/>
        <w:jc w:val="left"/>
      </w:pPr>
      <w:r>
        <w:rPr>
          <w:rFonts w:ascii="Calibri" w:cs="Calibri" w:eastAsia="Calibri" w:hAnsi="Calibri"/>
          <w:sz w:val="22"/>
          <w:szCs w:val="22"/>
        </w:rPr>
        <w:t xml:space="preserve">Kültür ve bağlılık metrikleri bu analizde birleşir. ISO/TS 24178’in tutma kırılımı, ayrılma nedenlerini işe alım sorunu (deneme dönemindeki kayıplar), beyan edilen kültürün yaşanmaması (bir ila iki yıl arasındaki kayıplar) ve yönetici sorunu (belirli bölümlerdeki yoğunlaşma) olarak ayırır; ISO 23326’nın bağlılık ölçümleri ise bu üçünün hangisinin baskın olduğuna dair ipucu verir. Güvenlik kayıtları da ayrılma nedeni olabilir: Zayıf departman iş güvenliği kayıtları çalışanı elde tutmayı etkileyebilir.</w:t>
      </w:r>
    </w:p>
    <w:p>
      <w:pPr>
        <w:pStyle w:val="Heading2"/>
        <w:keepNext/>
        <w:spacing w:after="110" w:before="320"/>
      </w:pPr>
      <w:r>
        <w:rPr>
          <w:rFonts w:ascii="Calibri" w:cs="Calibri" w:eastAsia="Calibri" w:hAnsi="Calibri"/>
          <w:b/>
          <w:bCs/>
          <w:sz w:val="27"/>
          <w:szCs w:val="27"/>
        </w:rPr>
        <w:t xml:space="preserve">Elde tutma stratejisine geçiş</w:t>
      </w:r>
    </w:p>
    <w:p>
      <w:pPr>
        <w:spacing w:after="140" w:line="288"/>
        <w:jc w:val="left"/>
      </w:pPr>
      <w:r>
        <w:rPr>
          <w:rFonts w:ascii="Calibri" w:cs="Calibri" w:eastAsia="Calibri" w:hAnsi="Calibri"/>
          <w:sz w:val="22"/>
          <w:szCs w:val="22"/>
        </w:rPr>
        <w:t xml:space="preserve">Devir ve maliyet ölçümü, bir elde tutma stratejisinin ancak başlangıç noktasıdır. Standart bir strateji önermez; ancak ölçümlerin hangi kararlara hizmet edebileceğini gösterir. Sıcak nokta (birim, bölge, yönetici, kıdem dilimi) analizi müdahalenin nereye yöneleceğini; ayrılma nedeni analizi ne tür bir müdahalenin gerektiğini (işe alım, uyum, yönetici, ücret, kariyer); maliyet hesabı ise ne kadar yatırım yapılabileceğini belirler. Bu üç soru sırayla yanıtlandığında, elde tutma bir “genel memnuniyet” çabası olmaktan çıkıp hedefli bir programa dönüşür. Programın sonuçları ise bir sonraki dönemde devir, istikrar ve kohort ölçümleriyle sınanır.</w:t>
      </w:r>
    </w:p>
    <w:p>
      <w:pPr>
        <w:pStyle w:val="Heading2"/>
        <w:keepNext/>
        <w:spacing w:after="110" w:before="320"/>
      </w:pPr>
      <w:r>
        <w:rPr>
          <w:rFonts w:ascii="Calibri" w:cs="Calibri" w:eastAsia="Calibri" w:hAnsi="Calibri"/>
          <w:b/>
          <w:bCs/>
          <w:sz w:val="27"/>
          <w:szCs w:val="27"/>
        </w:rPr>
        <w:t xml:space="preserve">Sınırlamalar ve raporlama</w:t>
      </w:r>
    </w:p>
    <w:p>
      <w:pPr>
        <w:pStyle w:val="ListParagraph"/>
        <w:numPr>
          <w:ilvl w:val="0"/>
          <w:numId w:val="2"/>
        </w:numPr>
        <w:spacing w:after="80" w:line="280"/>
      </w:pPr>
      <w:r>
        <w:rPr>
          <w:rFonts w:ascii="Calibri" w:cs="Calibri" w:eastAsia="Calibri" w:hAnsi="Calibri"/>
          <w:b/>
          <w:bCs/>
          <w:sz w:val="22"/>
          <w:szCs w:val="22"/>
        </w:rPr>
        <w:t xml:space="preserve">Aylık oranların toplanması ile toplam ayrılanın yıllık ortalamaya bölünmesi farklı sonuçlar verir.</w:t>
      </w:r>
      <w:r>
        <w:rPr>
          <w:rFonts w:ascii="Calibri" w:cs="Calibri" w:eastAsia="Calibri" w:hAnsi="Calibri"/>
          <w:sz w:val="22"/>
          <w:szCs w:val="22"/>
        </w:rPr>
        <w:t xml:space="preserve"> Yöntemi dönemler boyunca değiştirmeyin.</w:t>
      </w:r>
    </w:p>
    <w:p>
      <w:pPr>
        <w:pStyle w:val="ListParagraph"/>
        <w:numPr>
          <w:ilvl w:val="0"/>
          <w:numId w:val="2"/>
        </w:numPr>
        <w:spacing w:after="80" w:line="280"/>
      </w:pPr>
      <w:r>
        <w:rPr>
          <w:rFonts w:ascii="Calibri" w:cs="Calibri" w:eastAsia="Calibri" w:hAnsi="Calibri"/>
          <w:b/>
          <w:bCs/>
          <w:sz w:val="22"/>
          <w:szCs w:val="22"/>
        </w:rPr>
        <w:t xml:space="preserve">Kaba oran</w:t>
      </w:r>
      <w:r>
        <w:rPr>
          <w:rFonts w:ascii="Calibri" w:cs="Calibri" w:eastAsia="Calibri" w:hAnsi="Calibri"/>
          <w:sz w:val="22"/>
          <w:szCs w:val="22"/>
        </w:rPr>
        <w:t xml:space="preserve"> işlevsel ve işlevsiz devri, kaçınılabilir ve kaçınılamaz ayrılmayı ayırmaz.</w:t>
      </w:r>
    </w:p>
    <w:p>
      <w:pPr>
        <w:pStyle w:val="ListParagraph"/>
        <w:numPr>
          <w:ilvl w:val="0"/>
          <w:numId w:val="2"/>
        </w:numPr>
        <w:spacing w:after="80" w:line="280"/>
      </w:pPr>
      <w:r>
        <w:rPr>
          <w:rFonts w:ascii="Calibri" w:cs="Calibri" w:eastAsia="Calibri" w:hAnsi="Calibri"/>
          <w:b/>
          <w:bCs/>
          <w:sz w:val="22"/>
          <w:szCs w:val="22"/>
        </w:rPr>
        <w:t xml:space="preserve">Küçük birimlerde oran çok oynaktır.</w:t>
      </w:r>
      <w:r>
        <w:rPr>
          <w:rFonts w:ascii="Calibri" w:cs="Calibri" w:eastAsia="Calibri" w:hAnsi="Calibri"/>
          <w:sz w:val="22"/>
          <w:szCs w:val="22"/>
        </w:rPr>
        <w:t xml:space="preserve"> On kişilik bir ekipte bir ayrılma %10 devir demektir.</w:t>
      </w:r>
    </w:p>
    <w:p>
      <w:pPr>
        <w:pStyle w:val="ListParagraph"/>
        <w:numPr>
          <w:ilvl w:val="0"/>
          <w:numId w:val="2"/>
        </w:numPr>
        <w:spacing w:after="80" w:line="280"/>
      </w:pPr>
      <w:r>
        <w:rPr>
          <w:rFonts w:ascii="Calibri" w:cs="Calibri" w:eastAsia="Calibri" w:hAnsi="Calibri"/>
          <w:b/>
          <w:bCs/>
          <w:sz w:val="22"/>
          <w:szCs w:val="22"/>
        </w:rPr>
        <w:t xml:space="preserve">Kırılımlı raporlamada mahremiyet riski vardır.</w:t>
      </w:r>
      <w:r>
        <w:rPr>
          <w:rFonts w:ascii="Calibri" w:cs="Calibri" w:eastAsia="Calibri" w:hAnsi="Calibri"/>
          <w:sz w:val="22"/>
          <w:szCs w:val="22"/>
        </w:rPr>
        <w:t xml:space="preserve"> Asgari grup büyüklüğü kuralı (örneğin beş kişi) belirleyin.</w:t>
      </w:r>
    </w:p>
    <w:p>
      <w:pPr>
        <w:pStyle w:val="ListParagraph"/>
        <w:numPr>
          <w:ilvl w:val="0"/>
          <w:numId w:val="2"/>
        </w:numPr>
        <w:spacing w:after="80" w:line="280"/>
      </w:pPr>
      <w:r>
        <w:rPr>
          <w:rFonts w:ascii="Calibri" w:cs="Calibri" w:eastAsia="Calibri" w:hAnsi="Calibri"/>
          <w:b/>
          <w:bCs/>
          <w:sz w:val="22"/>
          <w:szCs w:val="22"/>
        </w:rPr>
        <w:t xml:space="preserve">Maliyet kalemleri ülkeye, sektöre ve sözleşme tipine göre değişir.</w:t>
      </w:r>
    </w:p>
    <w:p>
      <w:pPr>
        <w:spacing w:after="140" w:line="288"/>
        <w:jc w:val="left"/>
      </w:pPr>
      <w:r>
        <w:rPr>
          <w:rFonts w:ascii="Calibri" w:cs="Calibri" w:eastAsia="Calibri" w:hAnsi="Calibri"/>
          <w:sz w:val="22"/>
          <w:szCs w:val="22"/>
        </w:rPr>
        <w:t xml:space="preserve">Raporlamada üst yönetim ve kurul İK skor kartında devir, elde tutma ve maliyet eğilimini, kritik kadro devrini ve sektör kıyaslamasını görür. İK ve işgücü planlama birimi kırılımlı sıcak nokta analizini, ayrılma nedenlerini ve kohort sonuçlarını; hat yöneticileri kendi birimlerinin devrini ve gönüllü ayrılma nedenlerini; dış paydaşlar ise ISO 30414 ile uyumlu toplam devir ve elde tutma göstergelerini yöntem dipnotuyla görür. Rapora kapsam (kimler sayılıyor), payda yöntemi, dönem ve kıyaslama bağlamı mutlaka eklenmelidir.</w:t>
      </w:r>
    </w:p>
    <w:p>
      <w:pPr>
        <w:pStyle w:val="Heading2"/>
        <w:keepNext/>
        <w:spacing w:after="110" w:before="320"/>
      </w:pPr>
      <w:r>
        <w:rPr>
          <w:rFonts w:ascii="Calibri" w:cs="Calibri" w:eastAsia="Calibri" w:hAnsi="Calibri"/>
          <w:b/>
          <w:bCs/>
          <w:sz w:val="27"/>
          <w:szCs w:val="27"/>
        </w:rPr>
        <w:t xml:space="preserve">Metrik seçim adımları</w:t>
      </w:r>
    </w:p>
    <w:p>
      <w:pPr>
        <w:pStyle w:val="ListParagraph"/>
        <w:numPr>
          <w:ilvl w:val="0"/>
          <w:numId w:val="7"/>
        </w:numPr>
        <w:spacing w:after="80" w:line="280"/>
      </w:pPr>
      <w:r>
        <w:rPr>
          <w:rFonts w:ascii="Calibri" w:cs="Calibri" w:eastAsia="Calibri" w:hAnsi="Calibri"/>
          <w:sz w:val="22"/>
          <w:szCs w:val="22"/>
        </w:rPr>
        <w:t xml:space="preserve">Kapsamı tanımlayın: kadrolu, geçici, mevsimlik ve taşeron işgücünün durumunu bir kez kararlaştırın.</w:t>
      </w:r>
    </w:p>
    <w:p>
      <w:pPr>
        <w:pStyle w:val="ListParagraph"/>
        <w:numPr>
          <w:ilvl w:val="0"/>
          <w:numId w:val="7"/>
        </w:numPr>
        <w:spacing w:after="80" w:line="280"/>
      </w:pPr>
      <w:r>
        <w:rPr>
          <w:rFonts w:ascii="Calibri" w:cs="Calibri" w:eastAsia="Calibri" w:hAnsi="Calibri"/>
          <w:sz w:val="22"/>
          <w:szCs w:val="22"/>
        </w:rPr>
        <w:t xml:space="preserve">Paydayı sabitleyin: ay başı, ay sonu ya da ortalama (standardın önerisi ortalamadır).</w:t>
      </w:r>
    </w:p>
    <w:p>
      <w:pPr>
        <w:pStyle w:val="ListParagraph"/>
        <w:numPr>
          <w:ilvl w:val="0"/>
          <w:numId w:val="7"/>
        </w:numPr>
        <w:spacing w:after="80" w:line="280"/>
      </w:pPr>
      <w:r>
        <w:rPr>
          <w:rFonts w:ascii="Calibri" w:cs="Calibri" w:eastAsia="Calibri" w:hAnsi="Calibri"/>
          <w:sz w:val="22"/>
          <w:szCs w:val="22"/>
        </w:rPr>
        <w:t xml:space="preserve">Ayrılma nedenini kodlayın ve gönüllü/gönülsüz, kaçınılabilir/kaçınılamaz olarak sınıflayın.</w:t>
      </w:r>
    </w:p>
    <w:p>
      <w:pPr>
        <w:pStyle w:val="ListParagraph"/>
        <w:numPr>
          <w:ilvl w:val="0"/>
          <w:numId w:val="7"/>
        </w:numPr>
        <w:spacing w:after="80" w:line="280"/>
      </w:pPr>
      <w:r>
        <w:rPr>
          <w:rFonts w:ascii="Calibri" w:cs="Calibri" w:eastAsia="Calibri" w:hAnsi="Calibri"/>
          <w:sz w:val="22"/>
          <w:szCs w:val="22"/>
        </w:rPr>
        <w:t xml:space="preserve">Kritik pozisyonları belirleyin (ISO 30409 ve ISO/TS 30410).</w:t>
      </w:r>
    </w:p>
    <w:p>
      <w:pPr>
        <w:pStyle w:val="ListParagraph"/>
        <w:numPr>
          <w:ilvl w:val="0"/>
          <w:numId w:val="7"/>
        </w:numPr>
        <w:spacing w:after="80" w:line="280"/>
      </w:pPr>
      <w:r>
        <w:rPr>
          <w:rFonts w:ascii="Calibri" w:cs="Calibri" w:eastAsia="Calibri" w:hAnsi="Calibri"/>
          <w:sz w:val="22"/>
          <w:szCs w:val="22"/>
        </w:rPr>
        <w:t xml:space="preserve">Kırılımları seçin: birim, bölge, kıdem dilimi, iş ailesi, yönetici, kritiklik.</w:t>
      </w:r>
    </w:p>
    <w:p>
      <w:pPr>
        <w:pStyle w:val="ListParagraph"/>
        <w:numPr>
          <w:ilvl w:val="0"/>
          <w:numId w:val="7"/>
        </w:numPr>
        <w:spacing w:after="80" w:line="280"/>
      </w:pPr>
      <w:r>
        <w:rPr>
          <w:rFonts w:ascii="Calibri" w:cs="Calibri" w:eastAsia="Calibri" w:hAnsi="Calibri"/>
          <w:sz w:val="22"/>
          <w:szCs w:val="22"/>
        </w:rPr>
        <w:t xml:space="preserve">Maliyeti hesaplayın: ayrılma, işe alım ve hıza erişme kalemleri.</w:t>
      </w:r>
    </w:p>
    <w:p>
      <w:pPr>
        <w:pStyle w:val="ListParagraph"/>
        <w:numPr>
          <w:ilvl w:val="0"/>
          <w:numId w:val="7"/>
        </w:numPr>
        <w:spacing w:after="80" w:line="280"/>
      </w:pPr>
      <w:r>
        <w:rPr>
          <w:rFonts w:ascii="Calibri" w:cs="Calibri" w:eastAsia="Calibri" w:hAnsi="Calibri"/>
          <w:sz w:val="22"/>
          <w:szCs w:val="22"/>
        </w:rPr>
        <w:t xml:space="preserve">Elde tutma ölçüsünü eşleştirin: devir düşükse basit oran, yüksekse pozisyon temelli ve istikrar oranı.</w:t>
      </w:r>
    </w:p>
    <w:p>
      <w:pPr>
        <w:pStyle w:val="ListParagraph"/>
        <w:numPr>
          <w:ilvl w:val="0"/>
          <w:numId w:val="7"/>
        </w:numPr>
        <w:spacing w:after="80" w:line="280"/>
      </w:pPr>
      <w:r>
        <w:rPr>
          <w:rFonts w:ascii="Calibri" w:cs="Calibri" w:eastAsia="Calibri" w:hAnsi="Calibri"/>
          <w:sz w:val="22"/>
          <w:szCs w:val="22"/>
        </w:rPr>
        <w:t xml:space="preserve">Kıyaslama bağlamını ekleyin: iç eğilim ve dış sektör verisi.</w:t>
      </w:r>
    </w:p>
    <w:p>
      <w:pPr>
        <w:pStyle w:val="Heading1"/>
        <w:keepNext/>
        <w:pageBreakBefore/>
        <w:spacing w:after="100" w:before="0"/>
      </w:pPr>
      <w:r>
        <w:rPr>
          <w:rFonts w:ascii="Calibri" w:cs="Calibri" w:eastAsia="Calibri" w:hAnsi="Calibri"/>
          <w:b/>
          <w:bCs/>
          <w:color w:val="0B5C8A"/>
          <w:sz w:val="34"/>
          <w:szCs w:val="34"/>
        </w:rPr>
        <w:t xml:space="preserve">Kısım 5’in Özeti ve Kısım 6’ya Geçiş</w:t>
      </w:r>
    </w:p>
    <w:p>
      <w:pPr>
        <w:keepNext/>
        <w:pBdr>
          <w:bottom w:val="single" w:color="0B5C8A" w:sz="8" w:space="6"/>
        </w:pBdr>
        <w:spacing w:after="220"/>
      </w:pPr>
      <w:r>
        <w:rPr>
          <w:rFonts w:ascii="Calibri" w:cs="Calibri" w:eastAsia="Calibri" w:hAnsi="Calibri"/>
          <w:i/>
          <w:iCs/>
          <w:color w:val="59636F"/>
          <w:sz w:val="26"/>
          <w:szCs w:val="26"/>
        </w:rPr>
        <w:t xml:space="preserve">Koşullar, algı, güvenlik ve devir tek bir deneyim zincirinde.</w:t>
      </w:r>
    </w:p>
    <w:p>
      <w:pPr>
        <w:spacing w:after="140" w:line="288"/>
        <w:jc w:val="left"/>
      </w:pPr>
      <w:r>
        <w:rPr>
          <w:rFonts w:ascii="Calibri" w:cs="Calibri" w:eastAsia="Calibri" w:hAnsi="Calibri"/>
          <w:sz w:val="22"/>
          <w:szCs w:val="22"/>
        </w:rPr>
        <w:t xml:space="preserve">Bu kısımda çalışan deneyimini bir koşullar ve sonuçlar zinciri olarak ele aldık. ISO 23326 bağlılığı destekleyen beş koşulu ve üç boyutu tanımladı; aşırı bağlılığın da bir risk olduğunu hatırlattı. ISO/TS 24178 kültürü “burada işlerin yapılış biçimi” olarak tanımladı, ölçümün derinliğini kültürel olgunluğa bağladı ve 25 ifadelik temel bir anket sundu. ISO 30415 çeşitlilik ve kapsayıcılığı yönetişimden ürün ve tedarik zincirine uzanan bir çerçevede ele aldı. ISO/TS 24179 iş sağlığı ve güvenliğinin dört metriğini ve dokuz kırılım eksenini verdi. ISO/TS 30421 ise devri, elde tutmayı ve maliyeti hesaplamak için aylık payda–yıllık toplam kuralını ve dört ayrımı tanımladı.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1500"/>
        <w:gridCol w:w="2538"/>
      </w:tblGrid>
      <w:tr>
        <w:trPr>
          <w:cantSplit/>
          <w:tblHeader/>
        </w:trPr>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Soru</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2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Kime ve ne için?</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Çalışanlar bağlanıyor mu?</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Boyut puanları, katılım, kapsama</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23326</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ve İK: politika ve koşullar</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Kültür beyan edildiği gibi yaşanıyor mu?</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25 ifadelik puan, bağlılık endeksi, tutma</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24178</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İK ve liderler: değer–davranış boşluğu</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Kapsayıcı mıyız?</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Temsil endeksi, geçiş oranı, ücret farkı, kapsama</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30415</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Kurul ve İK: hesap verebilirlik</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İnsanlar güvende mi?</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Kayıp zaman, kaza, ölümlü kaza, eğitim</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24179</w:t>
            </w:r>
          </w:p>
        </w:tc>
        <w:tc>
          <w:tcPr>
            <w:tcW w:type="dxa" w:w="2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İSG, hat yönetimi, düzenleyici</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Kimler gidiyor, bedeli ne?</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Devir, elde tutma, istikrar, maliyet</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30421</w:t>
            </w:r>
          </w:p>
        </w:tc>
        <w:tc>
          <w:tcPr>
            <w:tcW w:type="dxa" w:w="2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ve planlama: tutar ve öncelik</w:t>
            </w:r>
          </w:p>
        </w:tc>
      </w:tr>
    </w:tbl>
    <w:p>
      <w:pPr>
        <w:spacing w:after="140"/>
      </w:pPr>
    </w:p>
    <w:p>
      <w:pPr>
        <w:pStyle w:val="Heading3"/>
        <w:keepNext/>
        <w:spacing w:after="80" w:before="220"/>
      </w:pPr>
      <w:r>
        <w:rPr>
          <w:rFonts w:ascii="Calibri" w:cs="Calibri" w:eastAsia="Calibri" w:hAnsi="Calibri"/>
          <w:b/>
          <w:bCs/>
          <w:color w:val="0B5C8A"/>
          <w:sz w:val="23"/>
          <w:szCs w:val="23"/>
        </w:rPr>
        <w:t xml:space="preserve">Beş bölümden çıkan ortak ilkeler</w:t>
      </w:r>
    </w:p>
    <w:p>
      <w:pPr>
        <w:pStyle w:val="ListParagraph"/>
        <w:numPr>
          <w:ilvl w:val="0"/>
          <w:numId w:val="8"/>
        </w:numPr>
        <w:spacing w:after="80" w:line="280"/>
      </w:pPr>
      <w:r>
        <w:rPr>
          <w:rFonts w:ascii="Calibri" w:cs="Calibri" w:eastAsia="Calibri" w:hAnsi="Calibri"/>
          <w:b/>
          <w:bCs/>
          <w:sz w:val="22"/>
          <w:szCs w:val="22"/>
        </w:rPr>
        <w:t xml:space="preserve">Anonimlik ve mahremiyet her şeyin önündedir.</w:t>
      </w:r>
      <w:r>
        <w:rPr>
          <w:rFonts w:ascii="Calibri" w:cs="Calibri" w:eastAsia="Calibri" w:hAnsi="Calibri"/>
          <w:sz w:val="22"/>
          <w:szCs w:val="22"/>
        </w:rPr>
        <w:t xml:space="preserve"> Anketler, kırılımlar ve sağlık verileri kişiyi tanınabilir kılacak kadar küçülmemelidir; asgari grup büyüklüğü kuralı koyun.</w:t>
      </w:r>
    </w:p>
    <w:p>
      <w:pPr>
        <w:pStyle w:val="ListParagraph"/>
        <w:numPr>
          <w:ilvl w:val="0"/>
          <w:numId w:val="8"/>
        </w:numPr>
        <w:spacing w:after="80" w:line="280"/>
      </w:pPr>
      <w:r>
        <w:rPr>
          <w:rFonts w:ascii="Calibri" w:cs="Calibri" w:eastAsia="Calibri" w:hAnsi="Calibri"/>
          <w:b/>
          <w:bCs/>
          <w:sz w:val="22"/>
          <w:szCs w:val="22"/>
        </w:rPr>
        <w:t xml:space="preserve">Sayı nedeni söylemez.</w:t>
      </w:r>
      <w:r>
        <w:rPr>
          <w:rFonts w:ascii="Calibri" w:cs="Calibri" w:eastAsia="Calibri" w:hAnsi="Calibri"/>
          <w:sz w:val="22"/>
          <w:szCs w:val="22"/>
        </w:rPr>
        <w:t xml:space="preserve"> Anket sonuçları odak gruplar, kent toplantıları ve çıkış görüşmeleriyle birlikte yorumlanmalıdır.</w:t>
      </w:r>
    </w:p>
    <w:p>
      <w:pPr>
        <w:pStyle w:val="ListParagraph"/>
        <w:numPr>
          <w:ilvl w:val="0"/>
          <w:numId w:val="8"/>
        </w:numPr>
        <w:spacing w:after="80" w:line="280"/>
      </w:pPr>
      <w:r>
        <w:rPr>
          <w:rFonts w:ascii="Calibri" w:cs="Calibri" w:eastAsia="Calibri" w:hAnsi="Calibri"/>
          <w:b/>
          <w:bCs/>
          <w:sz w:val="22"/>
          <w:szCs w:val="22"/>
        </w:rPr>
        <w:t xml:space="preserve">Bölümleyin ve ortalamanın arkasına bakın.</w:t>
      </w:r>
      <w:r>
        <w:rPr>
          <w:rFonts w:ascii="Calibri" w:cs="Calibri" w:eastAsia="Calibri" w:hAnsi="Calibri"/>
          <w:sz w:val="22"/>
          <w:szCs w:val="22"/>
        </w:rPr>
        <w:t xml:space="preserve"> Genel endeks yüksekken bir boyut, bir bölge ya da bir kıdem düzeyi düşük olabilir.</w:t>
      </w:r>
    </w:p>
    <w:p>
      <w:pPr>
        <w:pStyle w:val="ListParagraph"/>
        <w:numPr>
          <w:ilvl w:val="0"/>
          <w:numId w:val="8"/>
        </w:numPr>
        <w:spacing w:after="80" w:line="280"/>
      </w:pPr>
      <w:r>
        <w:rPr>
          <w:rFonts w:ascii="Calibri" w:cs="Calibri" w:eastAsia="Calibri" w:hAnsi="Calibri"/>
          <w:b/>
          <w:bCs/>
          <w:sz w:val="22"/>
          <w:szCs w:val="22"/>
        </w:rPr>
        <w:t xml:space="preserve">İki yönlü okuyun.</w:t>
      </w:r>
      <w:r>
        <w:rPr>
          <w:rFonts w:ascii="Calibri" w:cs="Calibri" w:eastAsia="Calibri" w:hAnsi="Calibri"/>
          <w:sz w:val="22"/>
          <w:szCs w:val="22"/>
        </w:rPr>
        <w:t xml:space="preserve"> Düşük şikâyet ve düşük kaza sayısı iyi haber olduğu kadar eksik bildirim işareti de olabilir; düşük devir düşük performansın kalması anlamına da gelebilir.</w:t>
      </w:r>
    </w:p>
    <w:p>
      <w:pPr>
        <w:pStyle w:val="ListParagraph"/>
        <w:numPr>
          <w:ilvl w:val="0"/>
          <w:numId w:val="8"/>
        </w:numPr>
        <w:spacing w:after="80" w:line="280"/>
      </w:pPr>
      <w:r>
        <w:rPr>
          <w:rFonts w:ascii="Calibri" w:cs="Calibri" w:eastAsia="Calibri" w:hAnsi="Calibri"/>
          <w:b/>
          <w:bCs/>
          <w:sz w:val="22"/>
          <w:szCs w:val="22"/>
        </w:rPr>
        <w:t xml:space="preserve">Algı ile kayıt arasındaki farkı izleyin.</w:t>
      </w:r>
      <w:r>
        <w:rPr>
          <w:rFonts w:ascii="Calibri" w:cs="Calibri" w:eastAsia="Calibri" w:hAnsi="Calibri"/>
          <w:sz w:val="22"/>
          <w:szCs w:val="22"/>
        </w:rPr>
        <w:t xml:space="preserve"> Beyan edilen değerler ile yaşanan davranış, eğitim katılımı ile eğitimin zamanlaması arasındaki fark çoğu zaman en bilgilendirici sinyaldir.</w:t>
      </w:r>
    </w:p>
    <w:p>
      <w:pPr>
        <w:pStyle w:val="ListParagraph"/>
        <w:numPr>
          <w:ilvl w:val="0"/>
          <w:numId w:val="8"/>
        </w:numPr>
        <w:spacing w:after="80" w:line="280"/>
      </w:pPr>
      <w:r>
        <w:rPr>
          <w:rFonts w:ascii="Calibri" w:cs="Calibri" w:eastAsia="Calibri" w:hAnsi="Calibri"/>
          <w:b/>
          <w:bCs/>
          <w:sz w:val="22"/>
          <w:szCs w:val="22"/>
        </w:rPr>
        <w:t xml:space="preserve">Kritik gruplara ayrı bakın.</w:t>
      </w:r>
      <w:r>
        <w:rPr>
          <w:rFonts w:ascii="Calibri" w:cs="Calibri" w:eastAsia="Calibri" w:hAnsi="Calibri"/>
          <w:sz w:val="22"/>
          <w:szCs w:val="22"/>
        </w:rPr>
        <w:t xml:space="preserve"> Kritik kadroda devir, kritik rollerde bağlılık ve kapsayıcılık ayrı payda ile izlenmelidir.</w:t>
      </w:r>
    </w:p>
    <w:p>
      <w:pPr>
        <w:pStyle w:val="ListParagraph"/>
        <w:numPr>
          <w:ilvl w:val="0"/>
          <w:numId w:val="8"/>
        </w:numPr>
        <w:spacing w:after="80" w:line="280"/>
      </w:pPr>
      <w:r>
        <w:rPr>
          <w:rFonts w:ascii="Calibri" w:cs="Calibri" w:eastAsia="Calibri" w:hAnsi="Calibri"/>
          <w:b/>
          <w:bCs/>
          <w:sz w:val="22"/>
          <w:szCs w:val="22"/>
        </w:rPr>
        <w:t xml:space="preserve">Maliyeti görünür kılın.</w:t>
      </w:r>
      <w:r>
        <w:rPr>
          <w:rFonts w:ascii="Calibri" w:cs="Calibri" w:eastAsia="Calibri" w:hAnsi="Calibri"/>
          <w:sz w:val="22"/>
          <w:szCs w:val="22"/>
        </w:rPr>
        <w:t xml:space="preserve"> Devir maliyeti gibi tutarlar, insan odaklı önlemler için yönetim desteğini sağlar.</w:t>
      </w:r>
    </w:p>
    <w:p>
      <w:pPr>
        <w:spacing w:after="140" w:line="288"/>
        <w:jc w:val="left"/>
      </w:pPr>
      <w:r>
        <w:rPr>
          <w:rFonts w:ascii="Calibri" w:cs="Calibri" w:eastAsia="Calibri" w:hAnsi="Calibri"/>
          <w:sz w:val="22"/>
          <w:szCs w:val="22"/>
        </w:rPr>
        <w:t xml:space="preserve">Bu ilkeler, önceki kısımlardaki güvenilir veri, işe alım ve öğrenme ölçümleriyle aynı ailedendir; ancak burada bir ek uyarı vardır: Çalışan deneyimi metrikleri insanların kendileri hakkındaki verilerdir ve bu veriyi toplamak bir güven sözü verir. Sonuçların çalışanlara geri anlatılması ve eyleme dönüşmesi, bir sonraki ölçümün katılımını ve doğruluğunu belirler.</w:t>
      </w:r>
    </w:p>
    <w:p>
      <w:pPr>
        <w:spacing w:after="140" w:line="288"/>
        <w:jc w:val="left"/>
      </w:pPr>
      <w:r>
        <w:rPr>
          <w:rFonts w:ascii="Calibri" w:cs="Calibri" w:eastAsia="Calibri" w:hAnsi="Calibri"/>
          <w:sz w:val="22"/>
          <w:szCs w:val="22"/>
        </w:rPr>
        <w:t xml:space="preserve">Dört boyutun ortak noktası, ölçmenin bir iletişim eylemi olmasıdır. Çalışana bir anket gönderen ya da bir kaza kaydı isteyen kurum, o veriyle ne yapacağını da çalışana söylemiş olur. Bu nedenle bu kısımdaki her ölçümün yanında bir “geri bildirim planı” bulunmalıdır: sonuçlar ne zaman, hangi biçimde ve kimlerle paylaşılacak, hangi eylemler alınacak ve sonraki ölçüm ne zaman yapılacak?</w:t>
      </w:r>
    </w:p>
    <w:p>
      <w:pPr>
        <w:pStyle w:val="Heading3"/>
        <w:keepNext/>
        <w:spacing w:after="80" w:before="220"/>
      </w:pPr>
      <w:r>
        <w:rPr>
          <w:rFonts w:ascii="Calibri" w:cs="Calibri" w:eastAsia="Calibri" w:hAnsi="Calibri"/>
          <w:b/>
          <w:bCs/>
          <w:color w:val="0B5C8A"/>
          <w:sz w:val="23"/>
          <w:szCs w:val="23"/>
        </w:rPr>
        <w:t xml:space="preserve">Başlangıç için önerilen yol haritası</w:t>
      </w:r>
    </w:p>
    <w:p>
      <w:pPr>
        <w:spacing w:after="140" w:line="288"/>
        <w:jc w:val="left"/>
      </w:pPr>
      <w:r>
        <w:rPr>
          <w:rFonts w:ascii="Calibri" w:cs="Calibri" w:eastAsia="Calibri" w:hAnsi="Calibri"/>
          <w:sz w:val="22"/>
          <w:szCs w:val="22"/>
        </w:rPr>
        <w:t xml:space="preserve">İlk üç ayda İSG olay kayıt sürecini ve ayrılma nedeni kodlamasını netleştirin, aylık devir ile dört İSG metriğini hesaplamaya başlayın (5.4 ve 5.5). Sonraki üç ayda 25 ifadelik temel kültür anketini ya da kurumun mevcut anketini beş yönde yeniden puanlayın ve en düşük iki ya da üç ifadeyi çalışanlarla tartışın (5.2). Altıncı aydan itibaren bağlılık öz değerlendirmesini yapın ve fazla çalışma payını izleyin (5.1). Yılın ikinci yarısında temsil endeksini, işe alım aşama geçiş oranlarını ve ücret farkını kıdem düzeylerine göre hesaplayın; Ek A kapsama puanını çıkarın (5.3). Bir yıl sonunda devir maliyetini yönetim kuruluna sunun ve bir elde tutma hedefi belirleyin.</w:t>
      </w:r>
    </w:p>
    <w:p>
      <w:pPr>
        <w:pStyle w:val="Heading3"/>
        <w:keepNext/>
        <w:spacing w:after="80" w:before="220"/>
      </w:pPr>
      <w:r>
        <w:rPr>
          <w:rFonts w:ascii="Calibri" w:cs="Calibri" w:eastAsia="Calibri" w:hAnsi="Calibri"/>
          <w:b/>
          <w:bCs/>
          <w:color w:val="0B5C8A"/>
          <w:sz w:val="23"/>
          <w:szCs w:val="23"/>
        </w:rPr>
        <w:t xml:space="preserve">Kısım 6’ya geçiş</w:t>
      </w:r>
    </w:p>
    <w:p>
      <w:pPr>
        <w:spacing w:after="140" w:line="288"/>
        <w:jc w:val="left"/>
      </w:pPr>
      <w:r>
        <w:rPr>
          <w:rFonts w:ascii="Calibri" w:cs="Calibri" w:eastAsia="Calibri" w:hAnsi="Calibri"/>
          <w:sz w:val="22"/>
          <w:szCs w:val="22"/>
        </w:rPr>
        <w:t xml:space="preserve">Çalışanların kurumda kalması, bağlanması ve güvende olması, kurumun asıl hedefi olan verimliliğin ön koşuludur; ama verimliliğin kendisi değildir. Kurumun insan sermayesine yaptığı yatırımın sonunda ne elde ettiği ve bunun toplam maliyetinin ne olduğu ayrı bir sorudur. Bir sonraki kısım bu soruyu ele alır: Kısım 6, işgücü üretkenliği metriklerini, maliyet metriklerini ve insan sermayesi yatırımının getirisini ve toplam maliyet görünümünü inceler. Böylece kitap, işgücünü planlamaktan işe almaya, geliştirmekten elde tutmaya uzanan zincirin ekonomik sonucunu hesaplayarak tamamlanır.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95A1"/>
        <w:sz w:val="16"/>
        <w:szCs w:val="16"/>
      </w:rPr>
      <w:t xml:space="preserve">Sayfa </w:t>
    </w:r>
    <w:r>
      <w:rPr>
        <w:rFonts w:ascii="Calibri" w:cs="Calibri" w:eastAsia="Calibri" w:hAnsi="Calibri"/>
        <w:color w:val="8B95A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B95A1"/>
        <w:sz w:val="16"/>
        <w:szCs w:val="16"/>
      </w:rPr>
      <w:t xml:space="preserve">İK Profesyonelleri için Metrik El Kitabı · Kısım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sz w:val="48"/>
      <w:szCs w:val="48"/>
    </w:rPr>
  </w:style>
  <w:style w:type="paragraph" w:styleId="Heading1">
    <w:name w:val="Heading 1"/>
    <w:basedOn w:val="Normal"/>
    <w:next w:val="Normal"/>
    <w:qFormat/>
    <w:pPr>
      <w:spacing w:after="100" w:before="0"/>
      <w:outlineLvl w:val="0"/>
    </w:pPr>
    <w:rPr>
      <w:rFonts w:ascii="Calibri" w:cs="Calibri" w:eastAsia="Calibri" w:hAnsi="Calibri"/>
      <w:b/>
      <w:bCs/>
      <w:color w:val="0B5C8A"/>
      <w:sz w:val="34"/>
      <w:szCs w:val="34"/>
    </w:rPr>
  </w:style>
  <w:style w:type="paragraph" w:styleId="Heading2">
    <w:name w:val="Heading 2"/>
    <w:basedOn w:val="Normal"/>
    <w:next w:val="Normal"/>
    <w:qFormat/>
    <w:pPr>
      <w:spacing w:after="110" w:before="320"/>
      <w:outlineLvl w:val="1"/>
    </w:pPr>
    <w:rPr>
      <w:rFonts w:ascii="Calibri" w:cs="Calibri" w:eastAsia="Calibri" w:hAnsi="Calibri"/>
      <w:b/>
      <w:bCs/>
      <w:sz w:val="27"/>
      <w:szCs w:val="27"/>
    </w:rPr>
  </w:style>
  <w:style w:type="paragraph" w:styleId="Heading3">
    <w:name w:val="Heading 3"/>
    <w:basedOn w:val="Normal"/>
    <w:next w:val="Normal"/>
    <w:qFormat/>
    <w:pPr>
      <w:spacing w:after="80" w:before="220"/>
      <w:outlineLvl w:val="2"/>
    </w:pPr>
    <w:rPr>
      <w:rFonts w:ascii="Calibri" w:cs="Calibri" w:eastAsia="Calibri" w:hAnsi="Calibri"/>
      <w:b/>
      <w:bCs/>
      <w:color w:val="0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2026-10-13T10:18:46.479Z</dcterms:created>
  <dcterms:modified xsi:type="dcterms:W3CDTF">2026-10-13T10:18:46.479Z</dcterms:modified>
</cp:coreProperties>
</file>

<file path=docProps/custom.xml><?xml version="1.0" encoding="utf-8"?>
<Properties xmlns="http://schemas.openxmlformats.org/officeDocument/2006/custom-properties" xmlns:vt="http://schemas.openxmlformats.org/officeDocument/2006/docPropsVTypes"/>
</file>