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CAE5A">
      <w:pPr>
        <w:spacing w:before="156" w:beforeLines="50" w:after="156" w:afterLines="50"/>
        <w:jc w:val="center"/>
        <w:rPr>
          <w:rFonts w:hint="default" w:ascii="仿宋_GB2312" w:hAnsi="仿宋_GB2312" w:eastAsia="仿宋_GB2312" w:cs="仿宋_GB2312"/>
          <w:bCs/>
          <w:sz w:val="24"/>
          <w:lang w:val="en-US" w:eastAsia="zh-CN"/>
        </w:rPr>
      </w:pPr>
      <w:r>
        <w:rPr>
          <w:rFonts w:hint="eastAsia" w:ascii="仿宋_GB2312" w:hAnsi="仿宋_GB2312" w:eastAsia="仿宋_GB2312" w:cs="仿宋_GB2312"/>
          <w:bCs/>
          <w:sz w:val="24"/>
          <w:lang w:val="en-US" w:eastAsia="zh-CN"/>
        </w:rPr>
        <w:t xml:space="preserve">表1 </w:t>
      </w:r>
      <w:r>
        <w:rPr>
          <w:rFonts w:hint="eastAsia" w:ascii="仿宋_GB2312" w:hAnsi="仿宋_GB2312" w:eastAsia="仿宋_GB2312" w:cs="仿宋_GB2312"/>
          <w:sz w:val="24"/>
        </w:rPr>
        <w:t>风险类别</w:t>
      </w:r>
    </w:p>
    <w:tbl>
      <w:tblPr>
        <w:tblStyle w:val="5"/>
        <w:tblW w:w="92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1"/>
        <w:gridCol w:w="4151"/>
        <w:gridCol w:w="4350"/>
      </w:tblGrid>
      <w:tr w14:paraId="77036D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 w:hRule="atLeast"/>
          <w:jc w:val="center"/>
        </w:trPr>
        <w:tc>
          <w:tcPr>
            <w:tcW w:w="721" w:type="dxa"/>
            <w:tcBorders>
              <w:top w:val="single" w:color="000000" w:sz="6" w:space="0"/>
              <w:left w:val="single" w:color="000000" w:sz="6" w:space="0"/>
              <w:bottom w:val="single" w:color="000000" w:sz="6" w:space="0"/>
            </w:tcBorders>
          </w:tcPr>
          <w:p w14:paraId="36DF830D">
            <w:pPr>
              <w:pStyle w:val="4"/>
              <w:spacing w:line="250" w:lineRule="auto"/>
              <w:ind w:left="91" w:right="102" w:firstLine="6"/>
              <w:jc w:val="distribute"/>
            </w:pPr>
            <w:r>
              <w:rPr>
                <w:rFonts w:hint="eastAsia" w:ascii="仿宋_GB2312" w:hAnsi="仿宋_GB2312" w:eastAsia="仿宋_GB2312" w:cs="仿宋_GB2312"/>
                <w:sz w:val="24"/>
                <w:szCs w:val="24"/>
                <w:lang w:eastAsia="zh-CN"/>
              </w:rPr>
              <w:t>风险 类别</w:t>
            </w:r>
          </w:p>
        </w:tc>
        <w:tc>
          <w:tcPr>
            <w:tcW w:w="4151" w:type="dxa"/>
            <w:tcBorders>
              <w:top w:val="single" w:color="000000" w:sz="6" w:space="0"/>
              <w:bottom w:val="single" w:color="000000" w:sz="6" w:space="0"/>
            </w:tcBorders>
            <w:vAlign w:val="center"/>
          </w:tcPr>
          <w:p w14:paraId="5DA4C695">
            <w:pPr>
              <w:pStyle w:val="4"/>
              <w:jc w:val="center"/>
            </w:pPr>
            <w:r>
              <w:rPr>
                <w:rFonts w:hint="eastAsia" w:ascii="仿宋_GB2312" w:hAnsi="仿宋_GB2312" w:eastAsia="仿宋_GB2312" w:cs="仿宋_GB2312"/>
                <w:sz w:val="24"/>
                <w:szCs w:val="24"/>
                <w:lang w:eastAsia="zh-CN"/>
              </w:rPr>
              <w:t>风险等级</w:t>
            </w:r>
          </w:p>
        </w:tc>
        <w:tc>
          <w:tcPr>
            <w:tcW w:w="4350" w:type="dxa"/>
            <w:tcBorders>
              <w:top w:val="single" w:color="000000" w:sz="6" w:space="0"/>
              <w:bottom w:val="single" w:color="000000" w:sz="6" w:space="0"/>
              <w:right w:val="single" w:color="000000" w:sz="6" w:space="0"/>
            </w:tcBorders>
            <w:vAlign w:val="center"/>
          </w:tcPr>
          <w:p w14:paraId="7FF6660D">
            <w:pPr>
              <w:pStyle w:val="4"/>
              <w:jc w:val="center"/>
            </w:pPr>
            <w:r>
              <w:rPr>
                <w:rFonts w:hint="eastAsia" w:ascii="仿宋_GB2312" w:hAnsi="仿宋_GB2312" w:eastAsia="仿宋_GB2312" w:cs="仿宋_GB2312"/>
                <w:sz w:val="24"/>
                <w:szCs w:val="24"/>
                <w:lang w:eastAsia="zh-CN"/>
              </w:rPr>
              <w:t>采取的措施</w:t>
            </w:r>
          </w:p>
        </w:tc>
      </w:tr>
      <w:tr w14:paraId="1E240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jc w:val="center"/>
        </w:trPr>
        <w:tc>
          <w:tcPr>
            <w:tcW w:w="721" w:type="dxa"/>
            <w:tcBorders>
              <w:top w:val="single" w:color="000000" w:sz="6" w:space="0"/>
              <w:left w:val="single" w:color="000000" w:sz="6" w:space="0"/>
            </w:tcBorders>
            <w:vAlign w:val="center"/>
          </w:tcPr>
          <w:p w14:paraId="76096862">
            <w:pPr>
              <w:pStyle w:val="4"/>
              <w:jc w:val="center"/>
              <w:rPr>
                <w:rFonts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Ⅰ</w:t>
            </w:r>
          </w:p>
        </w:tc>
        <w:tc>
          <w:tcPr>
            <w:tcW w:w="4151" w:type="dxa"/>
            <w:tcBorders>
              <w:top w:val="single" w:color="000000" w:sz="6" w:space="0"/>
            </w:tcBorders>
            <w:vAlign w:val="center"/>
          </w:tcPr>
          <w:p w14:paraId="65F2547D">
            <w:pPr>
              <w:rPr>
                <w:rFonts w:ascii="仿宋_GB2312" w:hAnsi="仿宋_GB2312" w:eastAsia="仿宋_GB2312" w:cs="仿宋_GB2312"/>
                <w:sz w:val="24"/>
              </w:rPr>
            </w:pPr>
            <w:r>
              <w:rPr>
                <w:rFonts w:hint="eastAsia" w:ascii="仿宋_GB2312" w:hAnsi="仿宋_GB2312" w:eastAsia="仿宋_GB2312" w:cs="仿宋_GB2312"/>
                <w:sz w:val="24"/>
              </w:rPr>
              <w:t>1A、1B、1C、1D、2A、2B、2C、3A、3B</w:t>
            </w:r>
          </w:p>
        </w:tc>
        <w:tc>
          <w:tcPr>
            <w:tcW w:w="4350" w:type="dxa"/>
            <w:tcBorders>
              <w:top w:val="single" w:color="000000" w:sz="6" w:space="0"/>
              <w:right w:val="single" w:color="000000" w:sz="6" w:space="0"/>
            </w:tcBorders>
          </w:tcPr>
          <w:p w14:paraId="4FB17F9B">
            <w:pPr>
              <w:pStyle w:val="4"/>
              <w:ind w:left="113"/>
              <w:jc w:val="left"/>
              <w:rPr>
                <w:rFonts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需要采取保护措施来降低风险</w:t>
            </w:r>
          </w:p>
        </w:tc>
      </w:tr>
      <w:tr w14:paraId="433273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jc w:val="center"/>
        </w:trPr>
        <w:tc>
          <w:tcPr>
            <w:tcW w:w="721" w:type="dxa"/>
            <w:tcBorders>
              <w:left w:val="single" w:color="000000" w:sz="6" w:space="0"/>
            </w:tcBorders>
            <w:vAlign w:val="center"/>
          </w:tcPr>
          <w:p w14:paraId="369A3B8C">
            <w:pPr>
              <w:pStyle w:val="4"/>
              <w:jc w:val="center"/>
              <w:rPr>
                <w:rFonts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w:t>
            </w:r>
          </w:p>
        </w:tc>
        <w:tc>
          <w:tcPr>
            <w:tcW w:w="4151" w:type="dxa"/>
            <w:vAlign w:val="center"/>
          </w:tcPr>
          <w:p w14:paraId="0FF967DA">
            <w:pPr>
              <w:rPr>
                <w:rFonts w:ascii="仿宋_GB2312" w:hAnsi="仿宋_GB2312" w:eastAsia="仿宋_GB2312" w:cs="仿宋_GB2312"/>
                <w:sz w:val="24"/>
              </w:rPr>
            </w:pPr>
            <w:r>
              <w:rPr>
                <w:rFonts w:hint="eastAsia" w:ascii="仿宋_GB2312" w:hAnsi="仿宋_GB2312" w:eastAsia="仿宋_GB2312" w:cs="仿宋_GB2312"/>
                <w:sz w:val="24"/>
              </w:rPr>
              <w:t>1E、2D、2E、3C、3D、4A、4B</w:t>
            </w:r>
          </w:p>
        </w:tc>
        <w:tc>
          <w:tcPr>
            <w:tcW w:w="4350" w:type="dxa"/>
            <w:tcBorders>
              <w:right w:val="single" w:color="000000" w:sz="6" w:space="0"/>
            </w:tcBorders>
          </w:tcPr>
          <w:p w14:paraId="3DA718EF">
            <w:pPr>
              <w:pStyle w:val="4"/>
              <w:ind w:left="113" w:right="104"/>
              <w:jc w:val="left"/>
              <w:rPr>
                <w:rFonts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需要复查，在考虑解决方案和社会价值 的实用性后，确定进一步采取保护措施是否适当</w:t>
            </w:r>
            <w:r>
              <w:rPr>
                <w:rFonts w:hint="eastAsia" w:ascii="仿宋_GB2312" w:hAnsi="仿宋_GB2312" w:eastAsia="仿宋_GB2312" w:cs="仿宋_GB2312"/>
                <w:sz w:val="24"/>
                <w:szCs w:val="24"/>
                <w:vertAlign w:val="superscript"/>
                <w:lang w:eastAsia="zh-CN"/>
              </w:rPr>
              <w:t>a</w:t>
            </w:r>
          </w:p>
        </w:tc>
      </w:tr>
      <w:tr w14:paraId="2527D3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jc w:val="center"/>
        </w:trPr>
        <w:tc>
          <w:tcPr>
            <w:tcW w:w="721" w:type="dxa"/>
            <w:tcBorders>
              <w:left w:val="single" w:color="000000" w:sz="6" w:space="0"/>
              <w:bottom w:val="single" w:color="000000" w:sz="6" w:space="0"/>
            </w:tcBorders>
            <w:vAlign w:val="center"/>
          </w:tcPr>
          <w:p w14:paraId="2597E79C">
            <w:pPr>
              <w:pStyle w:val="4"/>
              <w:jc w:val="center"/>
              <w:rPr>
                <w:rFonts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Ⅲ</w:t>
            </w:r>
          </w:p>
        </w:tc>
        <w:tc>
          <w:tcPr>
            <w:tcW w:w="4151" w:type="dxa"/>
            <w:tcBorders>
              <w:bottom w:val="single" w:color="000000" w:sz="6" w:space="0"/>
            </w:tcBorders>
            <w:vAlign w:val="center"/>
          </w:tcPr>
          <w:p w14:paraId="0BC42A4E">
            <w:pPr>
              <w:rPr>
                <w:rFonts w:ascii="仿宋_GB2312" w:hAnsi="仿宋_GB2312" w:eastAsia="仿宋_GB2312" w:cs="仿宋_GB2312"/>
                <w:sz w:val="24"/>
              </w:rPr>
            </w:pPr>
            <w:r>
              <w:rPr>
                <w:rFonts w:hint="eastAsia" w:ascii="仿宋_GB2312" w:hAnsi="仿宋_GB2312" w:eastAsia="仿宋_GB2312" w:cs="仿宋_GB2312"/>
                <w:sz w:val="24"/>
              </w:rPr>
              <w:t>1F、2F、3E、3F、4C、4D、4E、4F</w:t>
            </w:r>
          </w:p>
        </w:tc>
        <w:tc>
          <w:tcPr>
            <w:tcW w:w="4350" w:type="dxa"/>
            <w:tcBorders>
              <w:bottom w:val="single" w:color="000000" w:sz="6" w:space="0"/>
              <w:right w:val="single" w:color="000000" w:sz="6" w:space="0"/>
            </w:tcBorders>
          </w:tcPr>
          <w:p w14:paraId="12F8B315">
            <w:pPr>
              <w:pStyle w:val="4"/>
              <w:ind w:left="115"/>
              <w:jc w:val="left"/>
              <w:rPr>
                <w:rFonts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不需要任何行动</w:t>
            </w:r>
          </w:p>
        </w:tc>
      </w:tr>
    </w:tbl>
    <w:p w14:paraId="5C3675DF">
      <w:pPr>
        <w:spacing w:before="156" w:beforeLines="50" w:after="156" w:afterLines="50"/>
        <w:jc w:val="both"/>
        <w:rPr>
          <w:rFonts w:hint="eastAsia" w:ascii="仿宋_GB2312" w:hAnsi="仿宋_GB2312" w:eastAsia="仿宋_GB2312" w:cs="仿宋_GB2312"/>
          <w:bCs/>
          <w:sz w:val="24"/>
          <w:lang w:val="en-US" w:eastAsia="zh-CN"/>
        </w:rPr>
      </w:pPr>
    </w:p>
    <w:p w14:paraId="2FA055A5">
      <w:pPr>
        <w:spacing w:before="156" w:beforeLines="50" w:after="156" w:afterLines="50"/>
        <w:jc w:val="both"/>
        <w:rPr>
          <w:rFonts w:hint="eastAsia" w:ascii="仿宋_GB2312" w:hAnsi="仿宋_GB2312" w:eastAsia="仿宋_GB2312" w:cs="仿宋_GB2312"/>
          <w:bCs/>
          <w:sz w:val="24"/>
          <w:lang w:val="en-US" w:eastAsia="zh-CN"/>
        </w:rPr>
      </w:pPr>
      <w:r>
        <w:rPr>
          <w:rFonts w:hint="eastAsia" w:ascii="仿宋_GB2312" w:hAnsi="仿宋_GB2312" w:eastAsia="仿宋_GB2312" w:cs="仿宋_GB2312"/>
          <w:bCs/>
          <w:sz w:val="24"/>
          <w:lang w:val="en-US" w:eastAsia="zh-CN"/>
        </w:rPr>
        <w:t>注：当输入项目不在表3检索范围内时，按表2输出报告。</w:t>
      </w:r>
      <w:bookmarkStart w:id="0" w:name="_GoBack"/>
      <w:bookmarkEnd w:id="0"/>
    </w:p>
    <w:p w14:paraId="35D3FC5C">
      <w:pPr>
        <w:spacing w:before="156" w:beforeLines="50" w:after="156" w:afterLines="50"/>
        <w:jc w:val="center"/>
        <w:rPr>
          <w:rFonts w:hint="default" w:ascii="仿宋_GB2312" w:hAnsi="仿宋_GB2312" w:eastAsia="仿宋_GB2312" w:cs="仿宋_GB2312"/>
          <w:bCs/>
          <w:sz w:val="24"/>
          <w:lang w:val="en-US" w:eastAsia="zh-CN"/>
        </w:rPr>
      </w:pPr>
      <w:r>
        <w:rPr>
          <w:rFonts w:hint="eastAsia" w:ascii="仿宋_GB2312" w:hAnsi="仿宋_GB2312" w:eastAsia="仿宋_GB2312" w:cs="仿宋_GB2312"/>
          <w:bCs/>
          <w:sz w:val="24"/>
          <w:lang w:val="en-US" w:eastAsia="zh-CN"/>
        </w:rPr>
        <w:t>表2 无此项对应报告</w:t>
      </w:r>
    </w:p>
    <w:tbl>
      <w:tblPr>
        <w:tblStyle w:val="5"/>
        <w:tblW w:w="92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14:paraId="670F1D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jc w:val="center"/>
        </w:trPr>
        <w:tc>
          <w:tcPr>
            <w:tcW w:w="545" w:type="dxa"/>
            <w:vMerge w:val="restart"/>
            <w:tcBorders>
              <w:top w:val="single" w:color="000000" w:sz="6" w:space="0"/>
              <w:left w:val="single" w:color="000000" w:sz="6" w:space="0"/>
              <w:bottom w:val="nil"/>
            </w:tcBorders>
            <w:vAlign w:val="center"/>
          </w:tcPr>
          <w:p w14:paraId="05D072D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项目编号</w:t>
            </w:r>
          </w:p>
        </w:tc>
        <w:tc>
          <w:tcPr>
            <w:tcW w:w="1329" w:type="dxa"/>
            <w:vMerge w:val="restart"/>
            <w:tcBorders>
              <w:top w:val="single" w:color="000000" w:sz="6" w:space="0"/>
              <w:right w:val="single" w:color="000000" w:sz="6" w:space="0"/>
            </w:tcBorders>
            <w:vAlign w:val="center"/>
          </w:tcPr>
          <w:p w14:paraId="6BF7DEE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项目</w:t>
            </w:r>
          </w:p>
        </w:tc>
        <w:tc>
          <w:tcPr>
            <w:tcW w:w="4480" w:type="dxa"/>
            <w:vMerge w:val="restart"/>
            <w:tcBorders>
              <w:top w:val="single" w:color="000000" w:sz="6" w:space="0"/>
              <w:right w:val="single" w:color="000000" w:sz="6" w:space="0"/>
            </w:tcBorders>
            <w:vAlign w:val="center"/>
          </w:tcPr>
          <w:p w14:paraId="4846C08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评价内容与要求</w:t>
            </w:r>
          </w:p>
        </w:tc>
        <w:tc>
          <w:tcPr>
            <w:tcW w:w="996" w:type="dxa"/>
            <w:vMerge w:val="restart"/>
            <w:tcBorders>
              <w:top w:val="single" w:color="000000" w:sz="6" w:space="0"/>
              <w:right w:val="single" w:color="000000" w:sz="6" w:space="0"/>
            </w:tcBorders>
            <w:vAlign w:val="center"/>
          </w:tcPr>
          <w:p w14:paraId="3F77305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评价结果</w:t>
            </w:r>
          </w:p>
        </w:tc>
        <w:tc>
          <w:tcPr>
            <w:tcW w:w="1872" w:type="dxa"/>
            <w:gridSpan w:val="3"/>
            <w:tcBorders>
              <w:top w:val="single" w:color="000000" w:sz="6" w:space="0"/>
              <w:right w:val="single" w:color="000000" w:sz="6" w:space="0"/>
            </w:tcBorders>
            <w:vAlign w:val="center"/>
          </w:tcPr>
          <w:p w14:paraId="58DF965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风险评定值</w:t>
            </w:r>
          </w:p>
        </w:tc>
      </w:tr>
      <w:tr w14:paraId="1F477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jc w:val="center"/>
        </w:trPr>
        <w:tc>
          <w:tcPr>
            <w:tcW w:w="545" w:type="dxa"/>
            <w:vMerge w:val="continue"/>
            <w:tcBorders>
              <w:top w:val="nil"/>
              <w:left w:val="single" w:color="000000" w:sz="6" w:space="0"/>
              <w:bottom w:val="single" w:color="000000" w:sz="6" w:space="0"/>
            </w:tcBorders>
            <w:vAlign w:val="center"/>
          </w:tcPr>
          <w:p w14:paraId="6A6E4F94">
            <w:pPr>
              <w:jc w:val="center"/>
              <w:rPr>
                <w:rFonts w:ascii="仿宋_GB2312" w:hAnsi="仿宋_GB2312" w:eastAsia="仿宋_GB2312" w:cs="仿宋_GB2312"/>
                <w:szCs w:val="21"/>
              </w:rPr>
            </w:pPr>
          </w:p>
        </w:tc>
        <w:tc>
          <w:tcPr>
            <w:tcW w:w="1329" w:type="dxa"/>
            <w:vMerge w:val="continue"/>
            <w:tcBorders>
              <w:bottom w:val="single" w:color="000000" w:sz="6" w:space="0"/>
              <w:right w:val="single" w:color="000000" w:sz="6" w:space="0"/>
            </w:tcBorders>
            <w:vAlign w:val="center"/>
          </w:tcPr>
          <w:p w14:paraId="37EFCF58">
            <w:pPr>
              <w:pStyle w:val="4"/>
              <w:jc w:val="center"/>
              <w:rPr>
                <w:rFonts w:ascii="仿宋_GB2312" w:hAnsi="仿宋_GB2312" w:eastAsia="仿宋_GB2312" w:cs="仿宋_GB2312"/>
                <w:sz w:val="21"/>
                <w:szCs w:val="21"/>
                <w:lang w:eastAsia="zh-CN"/>
              </w:rPr>
            </w:pPr>
          </w:p>
        </w:tc>
        <w:tc>
          <w:tcPr>
            <w:tcW w:w="4480" w:type="dxa"/>
            <w:vMerge w:val="continue"/>
            <w:tcBorders>
              <w:bottom w:val="single" w:color="000000" w:sz="6" w:space="0"/>
              <w:right w:val="single" w:color="000000" w:sz="6" w:space="0"/>
            </w:tcBorders>
            <w:vAlign w:val="center"/>
          </w:tcPr>
          <w:p w14:paraId="26B91FA2">
            <w:pPr>
              <w:pStyle w:val="4"/>
              <w:jc w:val="center"/>
              <w:rPr>
                <w:rFonts w:ascii="仿宋_GB2312" w:hAnsi="仿宋_GB2312" w:eastAsia="仿宋_GB2312" w:cs="仿宋_GB2312"/>
                <w:sz w:val="21"/>
                <w:szCs w:val="21"/>
                <w:lang w:eastAsia="zh-CN"/>
              </w:rPr>
            </w:pPr>
          </w:p>
        </w:tc>
        <w:tc>
          <w:tcPr>
            <w:tcW w:w="996" w:type="dxa"/>
            <w:vMerge w:val="continue"/>
            <w:tcBorders>
              <w:bottom w:val="single" w:color="000000" w:sz="6" w:space="0"/>
              <w:right w:val="single" w:color="000000" w:sz="6" w:space="0"/>
            </w:tcBorders>
            <w:vAlign w:val="center"/>
          </w:tcPr>
          <w:p w14:paraId="72E8210D">
            <w:pPr>
              <w:pStyle w:val="4"/>
              <w:jc w:val="center"/>
              <w:rPr>
                <w:rFonts w:ascii="仿宋_GB2312" w:hAnsi="仿宋_GB2312" w:eastAsia="仿宋_GB2312" w:cs="仿宋_GB2312"/>
                <w:sz w:val="21"/>
                <w:szCs w:val="21"/>
                <w:lang w:eastAsia="zh-CN"/>
              </w:rPr>
            </w:pPr>
          </w:p>
        </w:tc>
        <w:tc>
          <w:tcPr>
            <w:tcW w:w="624" w:type="dxa"/>
            <w:tcBorders>
              <w:bottom w:val="single" w:color="000000" w:sz="6" w:space="0"/>
              <w:right w:val="single" w:color="000000" w:sz="6" w:space="0"/>
            </w:tcBorders>
            <w:vAlign w:val="center"/>
          </w:tcPr>
          <w:p w14:paraId="173A6D4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严重程度</w:t>
            </w:r>
          </w:p>
        </w:tc>
        <w:tc>
          <w:tcPr>
            <w:tcW w:w="619" w:type="dxa"/>
            <w:tcBorders>
              <w:bottom w:val="single" w:color="000000" w:sz="6" w:space="0"/>
              <w:right w:val="single" w:color="000000" w:sz="6" w:space="0"/>
            </w:tcBorders>
            <w:vAlign w:val="center"/>
          </w:tcPr>
          <w:p w14:paraId="39AE190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概率等级</w:t>
            </w:r>
          </w:p>
        </w:tc>
        <w:tc>
          <w:tcPr>
            <w:tcW w:w="629" w:type="dxa"/>
            <w:tcBorders>
              <w:bottom w:val="single" w:color="000000" w:sz="6" w:space="0"/>
              <w:right w:val="single" w:color="000000" w:sz="6" w:space="0"/>
            </w:tcBorders>
            <w:vAlign w:val="center"/>
          </w:tcPr>
          <w:p w14:paraId="5064F0A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风险类别</w:t>
            </w:r>
          </w:p>
        </w:tc>
      </w:tr>
      <w:tr w14:paraId="0E95AC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jc w:val="center"/>
        </w:trPr>
        <w:tc>
          <w:tcPr>
            <w:tcW w:w="545" w:type="dxa"/>
            <w:tcBorders>
              <w:top w:val="nil"/>
              <w:left w:val="single" w:color="000000" w:sz="6" w:space="0"/>
              <w:bottom w:val="single" w:color="000000" w:sz="6" w:space="0"/>
            </w:tcBorders>
            <w:vAlign w:val="center"/>
          </w:tcPr>
          <w:p w14:paraId="229DCBA2">
            <w:pPr>
              <w:jc w:val="center"/>
              <w:rPr>
                <w:rFonts w:hint="eastAsia" w:ascii="仿宋_GB2312" w:hAnsi="仿宋_GB2312" w:eastAsia="仿宋_GB2312" w:cs="仿宋_GB2312"/>
                <w:szCs w:val="21"/>
                <w:lang w:val="en-US" w:eastAsia="zh-CN"/>
              </w:rPr>
            </w:pPr>
          </w:p>
        </w:tc>
        <w:tc>
          <w:tcPr>
            <w:tcW w:w="1329" w:type="dxa"/>
            <w:tcBorders>
              <w:bottom w:val="single" w:color="000000" w:sz="6" w:space="0"/>
              <w:right w:val="single" w:color="000000" w:sz="6" w:space="0"/>
            </w:tcBorders>
            <w:vAlign w:val="center"/>
          </w:tcPr>
          <w:p w14:paraId="07981EFA">
            <w:pPr>
              <w:pStyle w:val="4"/>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无此项</w:t>
            </w:r>
          </w:p>
        </w:tc>
        <w:tc>
          <w:tcPr>
            <w:tcW w:w="4480" w:type="dxa"/>
            <w:tcBorders>
              <w:bottom w:val="single" w:color="000000" w:sz="6" w:space="0"/>
              <w:right w:val="single" w:color="000000" w:sz="6" w:space="0"/>
            </w:tcBorders>
            <w:vAlign w:val="center"/>
          </w:tcPr>
          <w:p w14:paraId="21619DC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val="en-US" w:eastAsia="zh-CN"/>
              </w:rPr>
              <w:t>-</w:t>
            </w:r>
          </w:p>
        </w:tc>
        <w:tc>
          <w:tcPr>
            <w:tcW w:w="996" w:type="dxa"/>
            <w:tcBorders>
              <w:bottom w:val="single" w:color="000000" w:sz="6" w:space="0"/>
              <w:right w:val="single" w:color="000000" w:sz="6" w:space="0"/>
            </w:tcBorders>
            <w:vAlign w:val="center"/>
          </w:tcPr>
          <w:p w14:paraId="2B574663">
            <w:pPr>
              <w:pStyle w:val="4"/>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w:t>
            </w:r>
          </w:p>
        </w:tc>
        <w:tc>
          <w:tcPr>
            <w:tcW w:w="624" w:type="dxa"/>
            <w:tcBorders>
              <w:bottom w:val="single" w:color="000000" w:sz="6" w:space="0"/>
              <w:right w:val="single" w:color="000000" w:sz="6" w:space="0"/>
            </w:tcBorders>
            <w:vAlign w:val="center"/>
          </w:tcPr>
          <w:p w14:paraId="4DC74B9F">
            <w:pPr>
              <w:pStyle w:val="4"/>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w:t>
            </w:r>
          </w:p>
        </w:tc>
        <w:tc>
          <w:tcPr>
            <w:tcW w:w="619" w:type="dxa"/>
            <w:tcBorders>
              <w:bottom w:val="single" w:color="000000" w:sz="6" w:space="0"/>
              <w:right w:val="single" w:color="000000" w:sz="6" w:space="0"/>
            </w:tcBorders>
            <w:vAlign w:val="center"/>
          </w:tcPr>
          <w:p w14:paraId="32674E93">
            <w:pPr>
              <w:pStyle w:val="4"/>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w:t>
            </w:r>
          </w:p>
        </w:tc>
        <w:tc>
          <w:tcPr>
            <w:tcW w:w="629" w:type="dxa"/>
            <w:tcBorders>
              <w:bottom w:val="single" w:color="000000" w:sz="6" w:space="0"/>
              <w:right w:val="single" w:color="000000" w:sz="6" w:space="0"/>
            </w:tcBorders>
            <w:vAlign w:val="center"/>
          </w:tcPr>
          <w:p w14:paraId="6206C0F3">
            <w:pPr>
              <w:pStyle w:val="4"/>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w:t>
            </w:r>
          </w:p>
        </w:tc>
      </w:tr>
    </w:tbl>
    <w:p w14:paraId="44076B76">
      <w:pPr>
        <w:spacing w:before="156" w:beforeLines="50" w:after="156" w:afterLines="50"/>
        <w:jc w:val="both"/>
        <w:rPr>
          <w:rFonts w:hint="eastAsia" w:ascii="仿宋_GB2312" w:hAnsi="仿宋_GB2312" w:eastAsia="仿宋_GB2312" w:cs="仿宋_GB2312"/>
          <w:bCs/>
          <w:sz w:val="24"/>
          <w:lang w:val="en-US" w:eastAsia="zh-CN"/>
        </w:rPr>
      </w:pPr>
    </w:p>
    <w:p w14:paraId="03854D7A">
      <w:pPr>
        <w:spacing w:before="156" w:beforeLines="50" w:after="156" w:afterLines="50"/>
        <w:jc w:val="center"/>
        <w:rPr>
          <w:rFonts w:hint="default" w:ascii="仿宋_GB2312" w:hAnsi="仿宋_GB2312" w:eastAsia="仿宋_GB2312" w:cs="仿宋_GB2312"/>
          <w:bCs/>
          <w:sz w:val="24"/>
          <w:lang w:val="en-US" w:eastAsia="zh-CN"/>
        </w:rPr>
      </w:pPr>
      <w:r>
        <w:rPr>
          <w:rFonts w:hint="eastAsia" w:ascii="仿宋_GB2312" w:hAnsi="仿宋_GB2312" w:eastAsia="仿宋_GB2312" w:cs="仿宋_GB2312"/>
          <w:bCs/>
          <w:sz w:val="24"/>
          <w:lang w:val="en-US" w:eastAsia="zh-CN"/>
        </w:rPr>
        <w:t xml:space="preserve">表3 </w:t>
      </w:r>
      <w:r>
        <w:rPr>
          <w:rFonts w:hint="eastAsia" w:ascii="仿宋_GB2312" w:hAnsi="仿宋_GB2312" w:eastAsia="仿宋_GB2312" w:cs="仿宋_GB2312"/>
          <w:bCs/>
          <w:sz w:val="24"/>
        </w:rPr>
        <w:t>评价项目与要求</w:t>
      </w:r>
    </w:p>
    <w:tbl>
      <w:tblPr>
        <w:tblStyle w:val="5"/>
        <w:tblW w:w="92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4"/>
        <w:gridCol w:w="438"/>
        <w:gridCol w:w="7"/>
        <w:gridCol w:w="883"/>
        <w:gridCol w:w="4478"/>
        <w:gridCol w:w="995"/>
        <w:gridCol w:w="624"/>
        <w:gridCol w:w="624"/>
        <w:gridCol w:w="629"/>
      </w:tblGrid>
      <w:tr w14:paraId="1FA878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jc w:val="center"/>
        </w:trPr>
        <w:tc>
          <w:tcPr>
            <w:tcW w:w="544" w:type="dxa"/>
            <w:vMerge w:val="restart"/>
            <w:tcBorders>
              <w:top w:val="single" w:color="000000" w:sz="6" w:space="0"/>
              <w:left w:val="single" w:color="000000" w:sz="6" w:space="0"/>
              <w:bottom w:val="nil"/>
            </w:tcBorders>
            <w:vAlign w:val="center"/>
          </w:tcPr>
          <w:p w14:paraId="5642530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项目编号</w:t>
            </w:r>
          </w:p>
        </w:tc>
        <w:tc>
          <w:tcPr>
            <w:tcW w:w="1328" w:type="dxa"/>
            <w:gridSpan w:val="3"/>
            <w:vMerge w:val="restart"/>
            <w:tcBorders>
              <w:top w:val="single" w:color="000000" w:sz="6" w:space="0"/>
              <w:right w:val="single" w:color="000000" w:sz="6" w:space="0"/>
            </w:tcBorders>
            <w:vAlign w:val="center"/>
          </w:tcPr>
          <w:p w14:paraId="292F54E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项目</w:t>
            </w:r>
          </w:p>
        </w:tc>
        <w:tc>
          <w:tcPr>
            <w:tcW w:w="4478" w:type="dxa"/>
            <w:vMerge w:val="restart"/>
            <w:tcBorders>
              <w:top w:val="single" w:color="000000" w:sz="6" w:space="0"/>
              <w:right w:val="single" w:color="000000" w:sz="6" w:space="0"/>
            </w:tcBorders>
            <w:vAlign w:val="center"/>
          </w:tcPr>
          <w:p w14:paraId="4C9AE6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评价内容与要求</w:t>
            </w:r>
          </w:p>
        </w:tc>
        <w:tc>
          <w:tcPr>
            <w:tcW w:w="995" w:type="dxa"/>
            <w:vMerge w:val="restart"/>
            <w:tcBorders>
              <w:top w:val="single" w:color="000000" w:sz="6" w:space="0"/>
              <w:right w:val="single" w:color="000000" w:sz="6" w:space="0"/>
            </w:tcBorders>
            <w:vAlign w:val="center"/>
          </w:tcPr>
          <w:p w14:paraId="5552762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评价结果</w:t>
            </w:r>
          </w:p>
        </w:tc>
        <w:tc>
          <w:tcPr>
            <w:tcW w:w="1877" w:type="dxa"/>
            <w:gridSpan w:val="3"/>
            <w:tcBorders>
              <w:top w:val="single" w:color="000000" w:sz="6" w:space="0"/>
              <w:right w:val="single" w:color="000000" w:sz="6" w:space="0"/>
            </w:tcBorders>
            <w:vAlign w:val="center"/>
          </w:tcPr>
          <w:p w14:paraId="5E7DB98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风险评定值</w:t>
            </w:r>
          </w:p>
        </w:tc>
      </w:tr>
      <w:tr w14:paraId="2BEB82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jc w:val="center"/>
        </w:trPr>
        <w:tc>
          <w:tcPr>
            <w:tcW w:w="544" w:type="dxa"/>
            <w:vMerge w:val="continue"/>
            <w:tcBorders>
              <w:top w:val="nil"/>
              <w:left w:val="single" w:color="000000" w:sz="6" w:space="0"/>
              <w:bottom w:val="single" w:color="000000" w:sz="6" w:space="0"/>
            </w:tcBorders>
            <w:vAlign w:val="center"/>
          </w:tcPr>
          <w:p w14:paraId="5573E2F4">
            <w:pPr>
              <w:jc w:val="center"/>
              <w:rPr>
                <w:rFonts w:ascii="仿宋_GB2312" w:hAnsi="仿宋_GB2312" w:eastAsia="仿宋_GB2312" w:cs="仿宋_GB2312"/>
                <w:szCs w:val="21"/>
              </w:rPr>
            </w:pPr>
          </w:p>
        </w:tc>
        <w:tc>
          <w:tcPr>
            <w:tcW w:w="1328" w:type="dxa"/>
            <w:gridSpan w:val="3"/>
            <w:vMerge w:val="continue"/>
            <w:tcBorders>
              <w:bottom w:val="single" w:color="000000" w:sz="6" w:space="0"/>
              <w:right w:val="single" w:color="000000" w:sz="6" w:space="0"/>
            </w:tcBorders>
            <w:vAlign w:val="center"/>
          </w:tcPr>
          <w:p w14:paraId="2CB98D37">
            <w:pPr>
              <w:pStyle w:val="4"/>
              <w:jc w:val="center"/>
              <w:rPr>
                <w:rFonts w:ascii="仿宋_GB2312" w:hAnsi="仿宋_GB2312" w:eastAsia="仿宋_GB2312" w:cs="仿宋_GB2312"/>
                <w:sz w:val="21"/>
                <w:szCs w:val="21"/>
                <w:lang w:eastAsia="zh-CN"/>
              </w:rPr>
            </w:pPr>
          </w:p>
        </w:tc>
        <w:tc>
          <w:tcPr>
            <w:tcW w:w="4478" w:type="dxa"/>
            <w:vMerge w:val="continue"/>
            <w:tcBorders>
              <w:bottom w:val="single" w:color="000000" w:sz="6" w:space="0"/>
              <w:right w:val="single" w:color="000000" w:sz="6" w:space="0"/>
            </w:tcBorders>
            <w:vAlign w:val="center"/>
          </w:tcPr>
          <w:p w14:paraId="11611897">
            <w:pPr>
              <w:pStyle w:val="4"/>
              <w:jc w:val="center"/>
              <w:rPr>
                <w:rFonts w:ascii="仿宋_GB2312" w:hAnsi="仿宋_GB2312" w:eastAsia="仿宋_GB2312" w:cs="仿宋_GB2312"/>
                <w:sz w:val="21"/>
                <w:szCs w:val="21"/>
                <w:lang w:eastAsia="zh-CN"/>
              </w:rPr>
            </w:pPr>
          </w:p>
        </w:tc>
        <w:tc>
          <w:tcPr>
            <w:tcW w:w="995" w:type="dxa"/>
            <w:vMerge w:val="continue"/>
            <w:tcBorders>
              <w:bottom w:val="single" w:color="000000" w:sz="6" w:space="0"/>
              <w:right w:val="single" w:color="000000" w:sz="6" w:space="0"/>
            </w:tcBorders>
            <w:vAlign w:val="center"/>
          </w:tcPr>
          <w:p w14:paraId="23A4F0BF">
            <w:pPr>
              <w:pStyle w:val="4"/>
              <w:jc w:val="center"/>
              <w:rPr>
                <w:rFonts w:ascii="仿宋_GB2312" w:hAnsi="仿宋_GB2312" w:eastAsia="仿宋_GB2312" w:cs="仿宋_GB2312"/>
                <w:sz w:val="21"/>
                <w:szCs w:val="21"/>
                <w:lang w:eastAsia="zh-CN"/>
              </w:rPr>
            </w:pPr>
          </w:p>
        </w:tc>
        <w:tc>
          <w:tcPr>
            <w:tcW w:w="624" w:type="dxa"/>
            <w:tcBorders>
              <w:bottom w:val="single" w:color="000000" w:sz="6" w:space="0"/>
              <w:right w:val="single" w:color="000000" w:sz="6" w:space="0"/>
            </w:tcBorders>
            <w:vAlign w:val="center"/>
          </w:tcPr>
          <w:p w14:paraId="19DB359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严重程度</w:t>
            </w:r>
          </w:p>
        </w:tc>
        <w:tc>
          <w:tcPr>
            <w:tcW w:w="624" w:type="dxa"/>
            <w:tcBorders>
              <w:bottom w:val="single" w:color="000000" w:sz="6" w:space="0"/>
              <w:right w:val="single" w:color="000000" w:sz="6" w:space="0"/>
            </w:tcBorders>
            <w:vAlign w:val="center"/>
          </w:tcPr>
          <w:p w14:paraId="46374E2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概率等级</w:t>
            </w:r>
          </w:p>
        </w:tc>
        <w:tc>
          <w:tcPr>
            <w:tcW w:w="629" w:type="dxa"/>
            <w:tcBorders>
              <w:bottom w:val="single" w:color="000000" w:sz="6" w:space="0"/>
              <w:right w:val="single" w:color="000000" w:sz="6" w:space="0"/>
            </w:tcBorders>
            <w:vAlign w:val="center"/>
          </w:tcPr>
          <w:p w14:paraId="65FBC00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风险类别</w:t>
            </w:r>
          </w:p>
        </w:tc>
      </w:tr>
      <w:tr w14:paraId="181E47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0" w:hRule="atLeast"/>
          <w:jc w:val="center"/>
        </w:trPr>
        <w:tc>
          <w:tcPr>
            <w:tcW w:w="544" w:type="dxa"/>
            <w:vMerge w:val="restart"/>
            <w:tcBorders>
              <w:top w:val="single" w:color="000000" w:sz="6" w:space="0"/>
              <w:left w:val="single" w:color="000000" w:sz="6" w:space="0"/>
            </w:tcBorders>
            <w:vAlign w:val="center"/>
          </w:tcPr>
          <w:p w14:paraId="0F243A2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w:t>
            </w:r>
          </w:p>
        </w:tc>
        <w:tc>
          <w:tcPr>
            <w:tcW w:w="1328" w:type="dxa"/>
            <w:gridSpan w:val="3"/>
            <w:vMerge w:val="restart"/>
            <w:tcBorders>
              <w:top w:val="single" w:color="000000" w:sz="6" w:space="0"/>
            </w:tcBorders>
            <w:shd w:val="clear" w:color="auto" w:fill="auto"/>
            <w:vAlign w:val="center"/>
          </w:tcPr>
          <w:p w14:paraId="26E267D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机房工作安全空间</w:t>
            </w:r>
          </w:p>
        </w:tc>
        <w:tc>
          <w:tcPr>
            <w:tcW w:w="4478" w:type="dxa"/>
            <w:vMerge w:val="restart"/>
            <w:tcBorders>
              <w:top w:val="single" w:color="000000" w:sz="6" w:space="0"/>
            </w:tcBorders>
            <w:shd w:val="clear" w:color="auto" w:fill="auto"/>
            <w:vAlign w:val="center"/>
          </w:tcPr>
          <w:p w14:paraId="0EED0FF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a)机房应有足够的空间，符合GB/T 7588.1—2020 中5.2.6.3.2.1的要求，以允许人员安全和容易地对有关设备进行作业，尤其是对电气设备的作业</w:t>
            </w:r>
          </w:p>
          <w:p w14:paraId="7C203BB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b)活动区域的净高度,以及通道宽度应符合GB/T 7588.1—2020中5.2.6.3.2.2的要求</w:t>
            </w:r>
          </w:p>
          <w:p w14:paraId="69B4E55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c)在无防护的电梯驱动主机旋转部件及滑轮的上方的净垂直距离应符合 GB/T 7588.1—2020中5.2.6.3.2.3的要求</w:t>
            </w:r>
          </w:p>
        </w:tc>
        <w:tc>
          <w:tcPr>
            <w:tcW w:w="995" w:type="dxa"/>
            <w:tcBorders>
              <w:top w:val="single" w:color="000000" w:sz="6" w:space="0"/>
            </w:tcBorders>
            <w:shd w:val="clear" w:color="auto" w:fill="auto"/>
            <w:vAlign w:val="center"/>
          </w:tcPr>
          <w:p w14:paraId="3C4936A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top w:val="single" w:color="000000" w:sz="6" w:space="0"/>
              <w:right w:val="single" w:color="000000" w:sz="6" w:space="0"/>
            </w:tcBorders>
            <w:shd w:val="clear" w:color="auto" w:fill="auto"/>
            <w:vAlign w:val="center"/>
          </w:tcPr>
          <w:p w14:paraId="22009DB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op w:val="single" w:color="000000" w:sz="6" w:space="0"/>
              <w:right w:val="single" w:color="000000" w:sz="6" w:space="0"/>
            </w:tcBorders>
            <w:shd w:val="clear" w:color="auto" w:fill="auto"/>
            <w:vAlign w:val="center"/>
          </w:tcPr>
          <w:p w14:paraId="083DF6C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top w:val="single" w:color="000000" w:sz="6" w:space="0"/>
              <w:right w:val="single" w:color="000000" w:sz="6" w:space="0"/>
            </w:tcBorders>
            <w:shd w:val="clear" w:color="auto" w:fill="auto"/>
            <w:vAlign w:val="center"/>
          </w:tcPr>
          <w:p w14:paraId="7007F82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DD6BF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38" w:hRule="atLeast"/>
          <w:jc w:val="center"/>
        </w:trPr>
        <w:tc>
          <w:tcPr>
            <w:tcW w:w="544" w:type="dxa"/>
            <w:vMerge w:val="continue"/>
            <w:tcBorders>
              <w:left w:val="single" w:color="000000" w:sz="6" w:space="0"/>
            </w:tcBorders>
            <w:vAlign w:val="center"/>
          </w:tcPr>
          <w:p w14:paraId="2BFB5B81">
            <w:pPr>
              <w:pStyle w:val="4"/>
              <w:jc w:val="center"/>
            </w:pPr>
          </w:p>
        </w:tc>
        <w:tc>
          <w:tcPr>
            <w:tcW w:w="1328" w:type="dxa"/>
            <w:gridSpan w:val="3"/>
            <w:vMerge w:val="continue"/>
            <w:shd w:val="clear" w:color="auto" w:fill="auto"/>
            <w:vAlign w:val="center"/>
          </w:tcPr>
          <w:p w14:paraId="18E625D6">
            <w:pPr>
              <w:pStyle w:val="4"/>
              <w:jc w:val="center"/>
            </w:pPr>
          </w:p>
        </w:tc>
        <w:tc>
          <w:tcPr>
            <w:tcW w:w="4478" w:type="dxa"/>
            <w:vMerge w:val="continue"/>
            <w:shd w:val="clear" w:color="auto" w:fill="auto"/>
            <w:vAlign w:val="center"/>
          </w:tcPr>
          <w:p w14:paraId="4D41A6C1">
            <w:pPr>
              <w:pStyle w:val="4"/>
              <w:jc w:val="center"/>
            </w:pPr>
          </w:p>
        </w:tc>
        <w:tc>
          <w:tcPr>
            <w:tcW w:w="995" w:type="dxa"/>
            <w:tcBorders>
              <w:top w:val="single" w:color="000000" w:sz="6" w:space="0"/>
            </w:tcBorders>
            <w:shd w:val="clear" w:color="auto" w:fill="auto"/>
            <w:vAlign w:val="center"/>
          </w:tcPr>
          <w:p w14:paraId="0AECE23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shd w:val="clear" w:color="auto" w:fill="auto"/>
            <w:vAlign w:val="center"/>
          </w:tcPr>
          <w:p w14:paraId="0EB8721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shd w:val="clear" w:color="auto" w:fill="auto"/>
            <w:vAlign w:val="center"/>
          </w:tcPr>
          <w:p w14:paraId="54C6322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shd w:val="clear" w:color="auto" w:fill="auto"/>
            <w:vAlign w:val="center"/>
          </w:tcPr>
          <w:p w14:paraId="1A94380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38E2F8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69" w:hRule="atLeast"/>
          <w:jc w:val="center"/>
        </w:trPr>
        <w:tc>
          <w:tcPr>
            <w:tcW w:w="544" w:type="dxa"/>
            <w:vMerge w:val="restart"/>
            <w:tcBorders>
              <w:left w:val="single" w:color="000000" w:sz="6" w:space="0"/>
            </w:tcBorders>
            <w:vAlign w:val="center"/>
          </w:tcPr>
          <w:p w14:paraId="1EA6BCA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1.9</w:t>
            </w:r>
          </w:p>
        </w:tc>
        <w:tc>
          <w:tcPr>
            <w:tcW w:w="1328" w:type="dxa"/>
            <w:gridSpan w:val="3"/>
            <w:vMerge w:val="restart"/>
            <w:shd w:val="clear" w:color="auto" w:fill="auto"/>
            <w:vAlign w:val="center"/>
          </w:tcPr>
          <w:p w14:paraId="222217F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w:t>
            </w:r>
          </w:p>
        </w:tc>
        <w:tc>
          <w:tcPr>
            <w:tcW w:w="4478" w:type="dxa"/>
            <w:vMerge w:val="restart"/>
            <w:shd w:val="clear" w:color="auto" w:fill="auto"/>
            <w:vAlign w:val="center"/>
          </w:tcPr>
          <w:p w14:paraId="44031F53">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限速器应有有效期内的校验证书，且不应出现下列情况之一：</w:t>
            </w:r>
          </w:p>
          <w:p w14:paraId="32E0A129">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a)运行中有异响</w:t>
            </w:r>
          </w:p>
          <w:p w14:paraId="60D8268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b)传动部件严重锈蚀</w:t>
            </w:r>
          </w:p>
          <w:p w14:paraId="55A3B13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c)轴承损坏导致限速器轮转动不灵活</w:t>
            </w:r>
          </w:p>
          <w:p w14:paraId="58B6526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d)限速器座变形</w:t>
            </w:r>
          </w:p>
          <w:p w14:paraId="4DB5BBF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e)限速器绳表面油污严重</w:t>
            </w:r>
          </w:p>
          <w:p w14:paraId="7489AD73">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f)限速器绳达到或接近达到GB/T 31821—2015中4.4.2的报废技术条件</w:t>
            </w:r>
          </w:p>
          <w:p w14:paraId="6954404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g)限速器的动作速度和限速器绳的提拉力不符合GB/T 7588.1—2020中5.6.2.2.1.1的要求</w:t>
            </w:r>
          </w:p>
        </w:tc>
        <w:tc>
          <w:tcPr>
            <w:tcW w:w="995" w:type="dxa"/>
            <w:shd w:val="clear" w:color="auto" w:fill="auto"/>
            <w:vAlign w:val="center"/>
          </w:tcPr>
          <w:p w14:paraId="281DA4F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shd w:val="clear" w:color="auto" w:fill="auto"/>
            <w:vAlign w:val="center"/>
          </w:tcPr>
          <w:p w14:paraId="529600D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shd w:val="clear" w:color="auto" w:fill="auto"/>
            <w:vAlign w:val="center"/>
          </w:tcPr>
          <w:p w14:paraId="7F747C6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shd w:val="clear" w:color="auto" w:fill="auto"/>
            <w:vAlign w:val="center"/>
          </w:tcPr>
          <w:p w14:paraId="4719AD5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ADDF3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6" w:hRule="atLeast"/>
          <w:jc w:val="center"/>
        </w:trPr>
        <w:tc>
          <w:tcPr>
            <w:tcW w:w="544" w:type="dxa"/>
            <w:vMerge w:val="continue"/>
            <w:tcBorders>
              <w:left w:val="single" w:color="000000" w:sz="6" w:space="0"/>
            </w:tcBorders>
            <w:vAlign w:val="center"/>
          </w:tcPr>
          <w:p w14:paraId="64D5CBB8">
            <w:pPr>
              <w:pStyle w:val="4"/>
              <w:jc w:val="center"/>
            </w:pPr>
          </w:p>
        </w:tc>
        <w:tc>
          <w:tcPr>
            <w:tcW w:w="1328" w:type="dxa"/>
            <w:gridSpan w:val="3"/>
            <w:vMerge w:val="continue"/>
            <w:shd w:val="clear" w:color="auto" w:fill="auto"/>
            <w:vAlign w:val="center"/>
          </w:tcPr>
          <w:p w14:paraId="51DEA81D">
            <w:pPr>
              <w:pStyle w:val="4"/>
              <w:jc w:val="center"/>
            </w:pPr>
          </w:p>
        </w:tc>
        <w:tc>
          <w:tcPr>
            <w:tcW w:w="4478" w:type="dxa"/>
            <w:vMerge w:val="continue"/>
            <w:shd w:val="clear" w:color="auto" w:fill="auto"/>
            <w:vAlign w:val="center"/>
          </w:tcPr>
          <w:p w14:paraId="69750AB0">
            <w:pPr>
              <w:pStyle w:val="4"/>
              <w:jc w:val="center"/>
            </w:pPr>
          </w:p>
        </w:tc>
        <w:tc>
          <w:tcPr>
            <w:tcW w:w="995" w:type="dxa"/>
            <w:shd w:val="clear" w:color="auto" w:fill="auto"/>
            <w:vAlign w:val="center"/>
          </w:tcPr>
          <w:p w14:paraId="75348B0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shd w:val="clear" w:color="auto" w:fill="auto"/>
            <w:vAlign w:val="center"/>
          </w:tcPr>
          <w:p w14:paraId="6613CC9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shd w:val="clear" w:color="auto" w:fill="auto"/>
            <w:vAlign w:val="center"/>
          </w:tcPr>
          <w:p w14:paraId="66DACAD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shd w:val="clear" w:color="auto" w:fill="auto"/>
            <w:vAlign w:val="center"/>
          </w:tcPr>
          <w:p w14:paraId="1B83B80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078CBF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restart"/>
            <w:tcBorders>
              <w:left w:val="single" w:color="000000" w:sz="6" w:space="0"/>
            </w:tcBorders>
            <w:vAlign w:val="center"/>
          </w:tcPr>
          <w:p w14:paraId="293C94F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1.10</w:t>
            </w:r>
          </w:p>
        </w:tc>
        <w:tc>
          <w:tcPr>
            <w:tcW w:w="1328" w:type="dxa"/>
            <w:gridSpan w:val="3"/>
            <w:vMerge w:val="restart"/>
            <w:shd w:val="clear" w:color="auto" w:fill="auto"/>
            <w:vAlign w:val="center"/>
          </w:tcPr>
          <w:p w14:paraId="5145880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作用于钢丝绳系统的减速元件(如夹绳器等)</w:t>
            </w:r>
          </w:p>
        </w:tc>
        <w:tc>
          <w:tcPr>
            <w:tcW w:w="4478" w:type="dxa"/>
            <w:vMerge w:val="restart"/>
            <w:shd w:val="clear" w:color="auto" w:fill="auto"/>
            <w:vAlign w:val="center"/>
          </w:tcPr>
          <w:p w14:paraId="478030C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作用于钢丝绳系统的减速元件不应出现下列情况之一：</w:t>
            </w:r>
          </w:p>
          <w:p w14:paraId="63C2DF0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a)触发联动机构卡阻或损坏</w:t>
            </w:r>
          </w:p>
          <w:p w14:paraId="5019717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b)钳体或制动弹簧出现塑性变形、裂纹或断裂</w:t>
            </w:r>
          </w:p>
          <w:p w14:paraId="658F8D7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c)夹紧件严重磨损或锈蚀</w:t>
            </w:r>
          </w:p>
          <w:p w14:paraId="779DEFB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d)夹紧件擦碰钢丝绳</w:t>
            </w:r>
          </w:p>
          <w:p w14:paraId="40650B8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e)复位装置卡阻或损坏</w:t>
            </w:r>
          </w:p>
        </w:tc>
        <w:tc>
          <w:tcPr>
            <w:tcW w:w="995" w:type="dxa"/>
            <w:shd w:val="clear" w:color="auto" w:fill="auto"/>
            <w:vAlign w:val="center"/>
          </w:tcPr>
          <w:p w14:paraId="72D76A7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3F302A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3B3D06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5AE36A2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DF88A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continue"/>
            <w:tcBorders>
              <w:left w:val="single" w:color="000000" w:sz="6" w:space="0"/>
            </w:tcBorders>
            <w:vAlign w:val="center"/>
          </w:tcPr>
          <w:p w14:paraId="3EB5C94D">
            <w:pPr>
              <w:pStyle w:val="4"/>
              <w:jc w:val="center"/>
            </w:pPr>
          </w:p>
        </w:tc>
        <w:tc>
          <w:tcPr>
            <w:tcW w:w="1328" w:type="dxa"/>
            <w:gridSpan w:val="3"/>
            <w:vMerge w:val="continue"/>
            <w:shd w:val="clear" w:color="auto" w:fill="auto"/>
            <w:vAlign w:val="center"/>
          </w:tcPr>
          <w:p w14:paraId="2B6BC614">
            <w:pPr>
              <w:pStyle w:val="4"/>
              <w:jc w:val="center"/>
            </w:pPr>
          </w:p>
        </w:tc>
        <w:tc>
          <w:tcPr>
            <w:tcW w:w="4478" w:type="dxa"/>
            <w:vMerge w:val="continue"/>
            <w:shd w:val="clear" w:color="auto" w:fill="auto"/>
            <w:vAlign w:val="center"/>
          </w:tcPr>
          <w:p w14:paraId="2D558045">
            <w:pPr>
              <w:pStyle w:val="4"/>
              <w:jc w:val="center"/>
            </w:pPr>
          </w:p>
        </w:tc>
        <w:tc>
          <w:tcPr>
            <w:tcW w:w="995" w:type="dxa"/>
            <w:shd w:val="clear" w:color="auto" w:fill="auto"/>
            <w:vAlign w:val="center"/>
          </w:tcPr>
          <w:p w14:paraId="63D93F2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67255F0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7D97762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39AB28C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34CA2D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jc w:val="center"/>
        </w:trPr>
        <w:tc>
          <w:tcPr>
            <w:tcW w:w="544" w:type="dxa"/>
            <w:vMerge w:val="restart"/>
            <w:tcBorders>
              <w:left w:val="single" w:color="000000" w:sz="6" w:space="0"/>
            </w:tcBorders>
            <w:vAlign w:val="center"/>
          </w:tcPr>
          <w:p w14:paraId="323B58C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1.11</w:t>
            </w:r>
          </w:p>
        </w:tc>
        <w:tc>
          <w:tcPr>
            <w:tcW w:w="1328" w:type="dxa"/>
            <w:gridSpan w:val="3"/>
            <w:vMerge w:val="restart"/>
            <w:shd w:val="clear" w:color="auto" w:fill="auto"/>
            <w:vAlign w:val="center"/>
          </w:tcPr>
          <w:p w14:paraId="4FCC1C9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机房和滑轮间的专用</w:t>
            </w:r>
          </w:p>
        </w:tc>
        <w:tc>
          <w:tcPr>
            <w:tcW w:w="4478" w:type="dxa"/>
            <w:vMerge w:val="restart"/>
            <w:shd w:val="clear" w:color="auto" w:fill="auto"/>
            <w:vAlign w:val="center"/>
          </w:tcPr>
          <w:p w14:paraId="319A8D3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机房和滑轮间不应用于电梯以外的其他用途，也不应设置非电梯用的线槽、电缆或装置</w:t>
            </w:r>
          </w:p>
        </w:tc>
        <w:tc>
          <w:tcPr>
            <w:tcW w:w="995" w:type="dxa"/>
            <w:shd w:val="clear" w:color="auto" w:fill="auto"/>
            <w:vAlign w:val="center"/>
          </w:tcPr>
          <w:p w14:paraId="39776BB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4C3FE41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71C527A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C2E751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D86FF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jc w:val="center"/>
        </w:trPr>
        <w:tc>
          <w:tcPr>
            <w:tcW w:w="544" w:type="dxa"/>
            <w:vMerge w:val="continue"/>
            <w:tcBorders>
              <w:left w:val="single" w:color="000000" w:sz="6" w:space="0"/>
            </w:tcBorders>
            <w:vAlign w:val="center"/>
          </w:tcPr>
          <w:p w14:paraId="077FBC6D">
            <w:pPr>
              <w:pStyle w:val="4"/>
              <w:jc w:val="center"/>
            </w:pPr>
          </w:p>
        </w:tc>
        <w:tc>
          <w:tcPr>
            <w:tcW w:w="1328" w:type="dxa"/>
            <w:gridSpan w:val="3"/>
            <w:vMerge w:val="continue"/>
            <w:shd w:val="clear" w:color="auto" w:fill="auto"/>
            <w:vAlign w:val="center"/>
          </w:tcPr>
          <w:p w14:paraId="1AD06E9C">
            <w:pPr>
              <w:pStyle w:val="4"/>
              <w:jc w:val="center"/>
            </w:pPr>
          </w:p>
        </w:tc>
        <w:tc>
          <w:tcPr>
            <w:tcW w:w="4478" w:type="dxa"/>
            <w:vMerge w:val="continue"/>
            <w:shd w:val="clear" w:color="auto" w:fill="auto"/>
            <w:vAlign w:val="center"/>
          </w:tcPr>
          <w:p w14:paraId="6CF9BF40">
            <w:pPr>
              <w:pStyle w:val="4"/>
              <w:jc w:val="center"/>
            </w:pPr>
          </w:p>
        </w:tc>
        <w:tc>
          <w:tcPr>
            <w:tcW w:w="995" w:type="dxa"/>
            <w:shd w:val="clear" w:color="auto" w:fill="auto"/>
            <w:vAlign w:val="center"/>
          </w:tcPr>
          <w:p w14:paraId="029C700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55EEB8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DB597C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3401CB0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34D78B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jc w:val="center"/>
        </w:trPr>
        <w:tc>
          <w:tcPr>
            <w:tcW w:w="544" w:type="dxa"/>
            <w:vMerge w:val="restart"/>
            <w:tcBorders>
              <w:left w:val="single" w:color="000000" w:sz="6" w:space="0"/>
            </w:tcBorders>
            <w:vAlign w:val="center"/>
          </w:tcPr>
          <w:p w14:paraId="0A894D8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2.1</w:t>
            </w:r>
          </w:p>
        </w:tc>
        <w:tc>
          <w:tcPr>
            <w:tcW w:w="1328" w:type="dxa"/>
            <w:gridSpan w:val="3"/>
            <w:vMerge w:val="restart"/>
            <w:shd w:val="clear" w:color="auto" w:fill="auto"/>
            <w:vAlign w:val="center"/>
          </w:tcPr>
          <w:p w14:paraId="76184B8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减速箱箱体</w:t>
            </w:r>
          </w:p>
        </w:tc>
        <w:tc>
          <w:tcPr>
            <w:tcW w:w="4478" w:type="dxa"/>
            <w:vMerge w:val="restart"/>
            <w:shd w:val="clear" w:color="auto" w:fill="auto"/>
            <w:vAlign w:val="center"/>
          </w:tcPr>
          <w:p w14:paraId="121FB84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不应出现裂纹</w:t>
            </w:r>
          </w:p>
        </w:tc>
        <w:tc>
          <w:tcPr>
            <w:tcW w:w="995" w:type="dxa"/>
            <w:vAlign w:val="center"/>
          </w:tcPr>
          <w:p w14:paraId="569354A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6B87E1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27867D3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34740F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21FC7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jc w:val="center"/>
        </w:trPr>
        <w:tc>
          <w:tcPr>
            <w:tcW w:w="544" w:type="dxa"/>
            <w:vMerge w:val="continue"/>
            <w:tcBorders>
              <w:left w:val="single" w:color="000000" w:sz="6" w:space="0"/>
            </w:tcBorders>
            <w:vAlign w:val="center"/>
          </w:tcPr>
          <w:p w14:paraId="64EEBDDD">
            <w:pPr>
              <w:pStyle w:val="4"/>
              <w:jc w:val="center"/>
            </w:pPr>
          </w:p>
        </w:tc>
        <w:tc>
          <w:tcPr>
            <w:tcW w:w="1328" w:type="dxa"/>
            <w:gridSpan w:val="3"/>
            <w:vMerge w:val="continue"/>
            <w:shd w:val="clear" w:color="auto" w:fill="auto"/>
            <w:vAlign w:val="center"/>
          </w:tcPr>
          <w:p w14:paraId="0047B44F">
            <w:pPr>
              <w:pStyle w:val="4"/>
              <w:jc w:val="center"/>
            </w:pPr>
          </w:p>
        </w:tc>
        <w:tc>
          <w:tcPr>
            <w:tcW w:w="4478" w:type="dxa"/>
            <w:vMerge w:val="continue"/>
            <w:shd w:val="clear" w:color="auto" w:fill="auto"/>
            <w:vAlign w:val="center"/>
          </w:tcPr>
          <w:p w14:paraId="5103886E">
            <w:pPr>
              <w:pStyle w:val="4"/>
              <w:jc w:val="center"/>
            </w:pPr>
          </w:p>
        </w:tc>
        <w:tc>
          <w:tcPr>
            <w:tcW w:w="995" w:type="dxa"/>
            <w:vAlign w:val="center"/>
          </w:tcPr>
          <w:p w14:paraId="5E8D155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1B30DA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1889E55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64AC13B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19F486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jc w:val="center"/>
        </w:trPr>
        <w:tc>
          <w:tcPr>
            <w:tcW w:w="544" w:type="dxa"/>
            <w:vMerge w:val="restart"/>
            <w:tcBorders>
              <w:left w:val="single" w:color="000000" w:sz="6" w:space="0"/>
            </w:tcBorders>
            <w:vAlign w:val="center"/>
          </w:tcPr>
          <w:p w14:paraId="57C812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2.2</w:t>
            </w:r>
          </w:p>
        </w:tc>
        <w:tc>
          <w:tcPr>
            <w:tcW w:w="1328" w:type="dxa"/>
            <w:gridSpan w:val="3"/>
            <w:vMerge w:val="restart"/>
            <w:vAlign w:val="center"/>
          </w:tcPr>
          <w:p w14:paraId="23C65CB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减速箱固定</w:t>
            </w:r>
          </w:p>
        </w:tc>
        <w:tc>
          <w:tcPr>
            <w:tcW w:w="4478" w:type="dxa"/>
            <w:vMerge w:val="restart"/>
            <w:vAlign w:val="center"/>
          </w:tcPr>
          <w:p w14:paraId="2E57D6D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固定结构牢固无严重锈蚀，或无影响安全运行的损坏</w:t>
            </w:r>
          </w:p>
        </w:tc>
        <w:tc>
          <w:tcPr>
            <w:tcW w:w="995" w:type="dxa"/>
            <w:vAlign w:val="center"/>
          </w:tcPr>
          <w:p w14:paraId="49E16BC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3B8CDBA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3A088C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2E0BD5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759071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jc w:val="center"/>
        </w:trPr>
        <w:tc>
          <w:tcPr>
            <w:tcW w:w="544" w:type="dxa"/>
            <w:vMerge w:val="continue"/>
            <w:tcBorders>
              <w:left w:val="single" w:color="000000" w:sz="6" w:space="0"/>
            </w:tcBorders>
            <w:vAlign w:val="center"/>
          </w:tcPr>
          <w:p w14:paraId="58E1B4FB">
            <w:pPr>
              <w:pStyle w:val="4"/>
              <w:jc w:val="center"/>
            </w:pPr>
          </w:p>
        </w:tc>
        <w:tc>
          <w:tcPr>
            <w:tcW w:w="1328" w:type="dxa"/>
            <w:gridSpan w:val="3"/>
            <w:vMerge w:val="continue"/>
            <w:vAlign w:val="center"/>
          </w:tcPr>
          <w:p w14:paraId="2D852774">
            <w:pPr>
              <w:pStyle w:val="4"/>
              <w:jc w:val="center"/>
            </w:pPr>
          </w:p>
        </w:tc>
        <w:tc>
          <w:tcPr>
            <w:tcW w:w="4478" w:type="dxa"/>
            <w:vMerge w:val="continue"/>
            <w:vAlign w:val="center"/>
          </w:tcPr>
          <w:p w14:paraId="469984EB">
            <w:pPr>
              <w:pStyle w:val="4"/>
              <w:jc w:val="center"/>
            </w:pPr>
          </w:p>
        </w:tc>
        <w:tc>
          <w:tcPr>
            <w:tcW w:w="995" w:type="dxa"/>
            <w:vAlign w:val="center"/>
          </w:tcPr>
          <w:p w14:paraId="6483665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AAD0EA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67AED65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61FBE47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3A156B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9" w:hRule="atLeast"/>
          <w:jc w:val="center"/>
        </w:trPr>
        <w:tc>
          <w:tcPr>
            <w:tcW w:w="544" w:type="dxa"/>
            <w:vMerge w:val="restart"/>
            <w:tcBorders>
              <w:left w:val="single" w:color="000000" w:sz="6" w:space="0"/>
            </w:tcBorders>
            <w:vAlign w:val="center"/>
          </w:tcPr>
          <w:p w14:paraId="5D3F637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2.3</w:t>
            </w:r>
          </w:p>
        </w:tc>
        <w:tc>
          <w:tcPr>
            <w:tcW w:w="1328" w:type="dxa"/>
            <w:gridSpan w:val="3"/>
            <w:vMerge w:val="restart"/>
            <w:vAlign w:val="center"/>
          </w:tcPr>
          <w:p w14:paraId="4095ED8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减速箱传动结构</w:t>
            </w:r>
          </w:p>
        </w:tc>
        <w:tc>
          <w:tcPr>
            <w:tcW w:w="4478" w:type="dxa"/>
            <w:vMerge w:val="restart"/>
            <w:vAlign w:val="center"/>
          </w:tcPr>
          <w:p w14:paraId="068CE7E9">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a)传动轴、轴承、键或键槽无影响安全运行的损坏，无异常噪声</w:t>
            </w:r>
          </w:p>
          <w:p w14:paraId="0D251BB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b)蜗轮副、斜齿轮、行星齿轮无影响安全运行的轮齿塑性变形、折断、裂纹、齿面点蚀、胶合或磨损等形式的严重失效</w:t>
            </w:r>
          </w:p>
        </w:tc>
        <w:tc>
          <w:tcPr>
            <w:tcW w:w="995" w:type="dxa"/>
            <w:vAlign w:val="center"/>
          </w:tcPr>
          <w:p w14:paraId="1B4EACE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5D9C0C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C3293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36AC3AA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0F01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jc w:val="center"/>
        </w:trPr>
        <w:tc>
          <w:tcPr>
            <w:tcW w:w="544" w:type="dxa"/>
            <w:vMerge w:val="continue"/>
            <w:tcBorders>
              <w:left w:val="single" w:color="000000" w:sz="6" w:space="0"/>
            </w:tcBorders>
            <w:vAlign w:val="center"/>
          </w:tcPr>
          <w:p w14:paraId="41CDE54E">
            <w:pPr>
              <w:pStyle w:val="4"/>
              <w:jc w:val="center"/>
            </w:pPr>
          </w:p>
        </w:tc>
        <w:tc>
          <w:tcPr>
            <w:tcW w:w="1328" w:type="dxa"/>
            <w:gridSpan w:val="3"/>
            <w:vMerge w:val="continue"/>
            <w:vAlign w:val="center"/>
          </w:tcPr>
          <w:p w14:paraId="550AE113">
            <w:pPr>
              <w:pStyle w:val="4"/>
              <w:jc w:val="center"/>
            </w:pPr>
          </w:p>
        </w:tc>
        <w:tc>
          <w:tcPr>
            <w:tcW w:w="4478" w:type="dxa"/>
            <w:vMerge w:val="continue"/>
            <w:vAlign w:val="center"/>
          </w:tcPr>
          <w:p w14:paraId="6C75FF1C">
            <w:pPr>
              <w:pStyle w:val="4"/>
              <w:jc w:val="center"/>
            </w:pPr>
          </w:p>
        </w:tc>
        <w:tc>
          <w:tcPr>
            <w:tcW w:w="995" w:type="dxa"/>
            <w:vAlign w:val="center"/>
          </w:tcPr>
          <w:p w14:paraId="4DA8692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7C944B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761CF89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7B28887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60DBDD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jc w:val="center"/>
        </w:trPr>
        <w:tc>
          <w:tcPr>
            <w:tcW w:w="544" w:type="dxa"/>
            <w:vMerge w:val="restart"/>
            <w:tcBorders>
              <w:left w:val="single" w:color="000000" w:sz="6" w:space="0"/>
            </w:tcBorders>
            <w:vAlign w:val="center"/>
          </w:tcPr>
          <w:p w14:paraId="03776AA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2.4</w:t>
            </w:r>
          </w:p>
        </w:tc>
        <w:tc>
          <w:tcPr>
            <w:tcW w:w="1328" w:type="dxa"/>
            <w:gridSpan w:val="3"/>
            <w:vMerge w:val="restart"/>
            <w:vAlign w:val="center"/>
          </w:tcPr>
          <w:p w14:paraId="13B6698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减速箱渗漏油情况</w:t>
            </w:r>
          </w:p>
        </w:tc>
        <w:tc>
          <w:tcPr>
            <w:tcW w:w="4478" w:type="dxa"/>
            <w:vMerge w:val="restart"/>
            <w:vAlign w:val="center"/>
          </w:tcPr>
          <w:p w14:paraId="4445583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有齿轮曳引机的箱体分割面、观察窗(孔)盖等处应紧密连接，不应渗漏油</w:t>
            </w:r>
          </w:p>
        </w:tc>
        <w:tc>
          <w:tcPr>
            <w:tcW w:w="995" w:type="dxa"/>
            <w:vAlign w:val="center"/>
          </w:tcPr>
          <w:p w14:paraId="43A6264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E7000E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76BE8A8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659D9C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A8A27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jc w:val="center"/>
        </w:trPr>
        <w:tc>
          <w:tcPr>
            <w:tcW w:w="544" w:type="dxa"/>
            <w:vMerge w:val="continue"/>
            <w:tcBorders>
              <w:left w:val="single" w:color="000000" w:sz="6" w:space="0"/>
            </w:tcBorders>
            <w:vAlign w:val="center"/>
          </w:tcPr>
          <w:p w14:paraId="09003FBC">
            <w:pPr>
              <w:pStyle w:val="4"/>
              <w:jc w:val="center"/>
            </w:pPr>
          </w:p>
        </w:tc>
        <w:tc>
          <w:tcPr>
            <w:tcW w:w="1328" w:type="dxa"/>
            <w:gridSpan w:val="3"/>
            <w:vMerge w:val="continue"/>
            <w:vAlign w:val="center"/>
          </w:tcPr>
          <w:p w14:paraId="7EAFC7DD">
            <w:pPr>
              <w:pStyle w:val="4"/>
              <w:jc w:val="center"/>
            </w:pPr>
          </w:p>
        </w:tc>
        <w:tc>
          <w:tcPr>
            <w:tcW w:w="4478" w:type="dxa"/>
            <w:vMerge w:val="continue"/>
            <w:vAlign w:val="center"/>
          </w:tcPr>
          <w:p w14:paraId="719D48A5">
            <w:pPr>
              <w:pStyle w:val="4"/>
              <w:jc w:val="center"/>
            </w:pPr>
          </w:p>
        </w:tc>
        <w:tc>
          <w:tcPr>
            <w:tcW w:w="995" w:type="dxa"/>
            <w:vAlign w:val="center"/>
          </w:tcPr>
          <w:p w14:paraId="5CFFFE8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179F1F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32234F1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521A348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1BD679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jc w:val="center"/>
        </w:trPr>
        <w:tc>
          <w:tcPr>
            <w:tcW w:w="544" w:type="dxa"/>
            <w:vMerge w:val="restart"/>
            <w:tcBorders>
              <w:left w:val="single" w:color="000000" w:sz="6" w:space="0"/>
            </w:tcBorders>
            <w:vAlign w:val="center"/>
          </w:tcPr>
          <w:p w14:paraId="6CD5CB9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3.2</w:t>
            </w:r>
          </w:p>
        </w:tc>
        <w:tc>
          <w:tcPr>
            <w:tcW w:w="1328" w:type="dxa"/>
            <w:gridSpan w:val="3"/>
            <w:vMerge w:val="restart"/>
            <w:vAlign w:val="center"/>
          </w:tcPr>
          <w:p w14:paraId="7E42D20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联轴器联结情况</w:t>
            </w:r>
          </w:p>
        </w:tc>
        <w:tc>
          <w:tcPr>
            <w:tcW w:w="4478" w:type="dxa"/>
            <w:vMerge w:val="restart"/>
            <w:vAlign w:val="center"/>
          </w:tcPr>
          <w:p w14:paraId="52562E3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a)联轴器与电动机输出轴端、减速箱联结装置应固定可靠</w:t>
            </w:r>
          </w:p>
          <w:p w14:paraId="2151809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b)运转中联轴器不应有振动、冲击和异响</w:t>
            </w:r>
          </w:p>
          <w:p w14:paraId="01D0FAC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c)联轴器挡圈、柱销等组件应完好</w:t>
            </w:r>
          </w:p>
        </w:tc>
        <w:tc>
          <w:tcPr>
            <w:tcW w:w="995" w:type="dxa"/>
            <w:vAlign w:val="center"/>
          </w:tcPr>
          <w:p w14:paraId="42D5C76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634E058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2607324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D1B6F2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B1172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jc w:val="center"/>
        </w:trPr>
        <w:tc>
          <w:tcPr>
            <w:tcW w:w="544" w:type="dxa"/>
            <w:vMerge w:val="continue"/>
            <w:tcBorders>
              <w:left w:val="single" w:color="000000" w:sz="6" w:space="0"/>
            </w:tcBorders>
            <w:vAlign w:val="center"/>
          </w:tcPr>
          <w:p w14:paraId="01E05004">
            <w:pPr>
              <w:pStyle w:val="4"/>
              <w:jc w:val="center"/>
            </w:pPr>
          </w:p>
        </w:tc>
        <w:tc>
          <w:tcPr>
            <w:tcW w:w="1328" w:type="dxa"/>
            <w:gridSpan w:val="3"/>
            <w:vMerge w:val="continue"/>
            <w:vAlign w:val="center"/>
          </w:tcPr>
          <w:p w14:paraId="3C48DA35">
            <w:pPr>
              <w:pStyle w:val="4"/>
              <w:jc w:val="center"/>
            </w:pPr>
          </w:p>
        </w:tc>
        <w:tc>
          <w:tcPr>
            <w:tcW w:w="4478" w:type="dxa"/>
            <w:vMerge w:val="continue"/>
            <w:vAlign w:val="center"/>
          </w:tcPr>
          <w:p w14:paraId="60DD1A52">
            <w:pPr>
              <w:pStyle w:val="4"/>
              <w:jc w:val="center"/>
            </w:pPr>
          </w:p>
        </w:tc>
        <w:tc>
          <w:tcPr>
            <w:tcW w:w="995" w:type="dxa"/>
            <w:vAlign w:val="center"/>
          </w:tcPr>
          <w:p w14:paraId="720C4C6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0EE7F07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14F7C1B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57337A9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154BD4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25" w:hRule="atLeast"/>
          <w:jc w:val="center"/>
        </w:trPr>
        <w:tc>
          <w:tcPr>
            <w:tcW w:w="544" w:type="dxa"/>
            <w:vMerge w:val="restart"/>
            <w:tcBorders>
              <w:left w:val="single" w:color="000000" w:sz="6" w:space="0"/>
            </w:tcBorders>
            <w:vAlign w:val="center"/>
          </w:tcPr>
          <w:p w14:paraId="7D3A39A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4.3</w:t>
            </w:r>
          </w:p>
        </w:tc>
        <w:tc>
          <w:tcPr>
            <w:tcW w:w="1328" w:type="dxa"/>
            <w:gridSpan w:val="3"/>
            <w:vMerge w:val="restart"/>
            <w:vAlign w:val="center"/>
          </w:tcPr>
          <w:p w14:paraId="5712A75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电动机运转状况</w:t>
            </w:r>
          </w:p>
        </w:tc>
        <w:tc>
          <w:tcPr>
            <w:tcW w:w="4478" w:type="dxa"/>
            <w:vMerge w:val="restart"/>
            <w:vAlign w:val="center"/>
          </w:tcPr>
          <w:p w14:paraId="407B205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电动机不应出现下列情况之一：</w:t>
            </w:r>
          </w:p>
          <w:p w14:paraId="4B08984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a)绕组短路、断路、烧毁</w:t>
            </w:r>
          </w:p>
          <w:p w14:paraId="019B46D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b)外壳或基座有影响安全的破裂</w:t>
            </w:r>
          </w:p>
          <w:p w14:paraId="5691CA3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c)轴承出现碎裂或影响运行的磨损</w:t>
            </w:r>
          </w:p>
          <w:p w14:paraId="5383873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d)定子与转子发生碰擦</w:t>
            </w:r>
          </w:p>
          <w:p w14:paraId="27FA8F5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e)定子的温升或绝缘不符合GB/T 24478—2009 中4.2.1.2的要求</w:t>
            </w:r>
          </w:p>
          <w:p w14:paraId="5DC8EE9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f)噪声不符合GB/T 24478—2009中4.2.3.3的要求</w:t>
            </w:r>
          </w:p>
          <w:p w14:paraId="6FDF7F3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g)三相异步电动机定子绕组不平衡,或永磁同步电动机出现退磁，不能满足110%超载试验的扭矩要求</w:t>
            </w:r>
          </w:p>
          <w:p w14:paraId="4047D90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h)永磁同步电动机转子磁性材料脱落</w:t>
            </w:r>
          </w:p>
        </w:tc>
        <w:tc>
          <w:tcPr>
            <w:tcW w:w="995" w:type="dxa"/>
            <w:vAlign w:val="center"/>
          </w:tcPr>
          <w:p w14:paraId="3DFF163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346D04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264406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526BF07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FD2D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25" w:hRule="atLeast"/>
          <w:jc w:val="center"/>
        </w:trPr>
        <w:tc>
          <w:tcPr>
            <w:tcW w:w="544" w:type="dxa"/>
            <w:vMerge w:val="continue"/>
            <w:tcBorders>
              <w:left w:val="single" w:color="000000" w:sz="6" w:space="0"/>
            </w:tcBorders>
            <w:vAlign w:val="center"/>
          </w:tcPr>
          <w:p w14:paraId="31440EB7">
            <w:pPr>
              <w:pStyle w:val="4"/>
              <w:jc w:val="center"/>
            </w:pPr>
          </w:p>
        </w:tc>
        <w:tc>
          <w:tcPr>
            <w:tcW w:w="1328" w:type="dxa"/>
            <w:gridSpan w:val="3"/>
            <w:vMerge w:val="continue"/>
            <w:vAlign w:val="center"/>
          </w:tcPr>
          <w:p w14:paraId="19D0130C">
            <w:pPr>
              <w:pStyle w:val="4"/>
              <w:jc w:val="center"/>
            </w:pPr>
          </w:p>
        </w:tc>
        <w:tc>
          <w:tcPr>
            <w:tcW w:w="4478" w:type="dxa"/>
            <w:vMerge w:val="continue"/>
            <w:vAlign w:val="center"/>
          </w:tcPr>
          <w:p w14:paraId="12ADEC6E">
            <w:pPr>
              <w:pStyle w:val="4"/>
              <w:jc w:val="center"/>
            </w:pPr>
          </w:p>
        </w:tc>
        <w:tc>
          <w:tcPr>
            <w:tcW w:w="995" w:type="dxa"/>
            <w:vAlign w:val="center"/>
          </w:tcPr>
          <w:p w14:paraId="015ADB4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E519A5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02B92E1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1BC1243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120E0B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jc w:val="center"/>
        </w:trPr>
        <w:tc>
          <w:tcPr>
            <w:tcW w:w="544" w:type="dxa"/>
            <w:vMerge w:val="restart"/>
            <w:tcBorders>
              <w:left w:val="single" w:color="000000" w:sz="6" w:space="0"/>
            </w:tcBorders>
            <w:vAlign w:val="center"/>
          </w:tcPr>
          <w:p w14:paraId="1C1E851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4.5</w:t>
            </w:r>
          </w:p>
        </w:tc>
        <w:tc>
          <w:tcPr>
            <w:tcW w:w="1328" w:type="dxa"/>
            <w:gridSpan w:val="3"/>
            <w:vMerge w:val="restart"/>
            <w:vAlign w:val="center"/>
          </w:tcPr>
          <w:p w14:paraId="2AF2488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电动机编码器</w:t>
            </w:r>
          </w:p>
        </w:tc>
        <w:tc>
          <w:tcPr>
            <w:tcW w:w="4478" w:type="dxa"/>
            <w:vMerge w:val="restart"/>
            <w:vAlign w:val="center"/>
          </w:tcPr>
          <w:p w14:paraId="013097E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a)编码器应结构完整, 安装可靠</w:t>
            </w:r>
          </w:p>
          <w:p w14:paraId="372BAB1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b)编码器信号输出应正常</w:t>
            </w:r>
          </w:p>
        </w:tc>
        <w:tc>
          <w:tcPr>
            <w:tcW w:w="995" w:type="dxa"/>
            <w:vAlign w:val="center"/>
          </w:tcPr>
          <w:p w14:paraId="5184BF8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3C7ECF5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589CB58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E8F45D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4F52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jc w:val="center"/>
        </w:trPr>
        <w:tc>
          <w:tcPr>
            <w:tcW w:w="544" w:type="dxa"/>
            <w:vMerge w:val="continue"/>
            <w:tcBorders>
              <w:left w:val="single" w:color="000000" w:sz="6" w:space="0"/>
            </w:tcBorders>
            <w:vAlign w:val="center"/>
          </w:tcPr>
          <w:p w14:paraId="4215329E">
            <w:pPr>
              <w:pStyle w:val="4"/>
              <w:jc w:val="center"/>
            </w:pPr>
          </w:p>
        </w:tc>
        <w:tc>
          <w:tcPr>
            <w:tcW w:w="1328" w:type="dxa"/>
            <w:gridSpan w:val="3"/>
            <w:vMerge w:val="continue"/>
            <w:vAlign w:val="center"/>
          </w:tcPr>
          <w:p w14:paraId="310FAB2A">
            <w:pPr>
              <w:pStyle w:val="4"/>
              <w:jc w:val="center"/>
            </w:pPr>
          </w:p>
        </w:tc>
        <w:tc>
          <w:tcPr>
            <w:tcW w:w="4478" w:type="dxa"/>
            <w:vMerge w:val="continue"/>
            <w:vAlign w:val="center"/>
          </w:tcPr>
          <w:p w14:paraId="037F9999">
            <w:pPr>
              <w:pStyle w:val="4"/>
              <w:jc w:val="center"/>
            </w:pPr>
          </w:p>
        </w:tc>
        <w:tc>
          <w:tcPr>
            <w:tcW w:w="995" w:type="dxa"/>
            <w:vAlign w:val="center"/>
          </w:tcPr>
          <w:p w14:paraId="7004EAB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0656C5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30EA160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1A8565C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2E73EF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restart"/>
            <w:tcBorders>
              <w:left w:val="single" w:color="000000" w:sz="6" w:space="0"/>
            </w:tcBorders>
            <w:vAlign w:val="center"/>
          </w:tcPr>
          <w:p w14:paraId="21B9A1C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5.1</w:t>
            </w:r>
          </w:p>
        </w:tc>
        <w:tc>
          <w:tcPr>
            <w:tcW w:w="1328" w:type="dxa"/>
            <w:gridSpan w:val="3"/>
            <w:vMerge w:val="restart"/>
            <w:vAlign w:val="center"/>
          </w:tcPr>
          <w:p w14:paraId="1555A11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制动器型式</w:t>
            </w:r>
          </w:p>
        </w:tc>
        <w:tc>
          <w:tcPr>
            <w:tcW w:w="4478" w:type="dxa"/>
            <w:vMerge w:val="restart"/>
            <w:vAlign w:val="center"/>
          </w:tcPr>
          <w:p w14:paraId="144FD50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机电式制动器应符合下列要求：</w:t>
            </w:r>
          </w:p>
          <w:p w14:paraId="2F98F7C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a)所有参与向制动面施加制动力的制动器机械部件应至少分两组设置</w:t>
            </w:r>
          </w:p>
          <w:p w14:paraId="4AF9A89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b)电梯正常运行时，切断制动器电流应至少用两个独立的电气装置来实现，当电梯停止时,如果其中一个接触器的主触点未打开，最迟到下一次运行方向改变时，应防止电梯再运行</w:t>
            </w:r>
          </w:p>
        </w:tc>
        <w:tc>
          <w:tcPr>
            <w:tcW w:w="995" w:type="dxa"/>
            <w:vAlign w:val="center"/>
          </w:tcPr>
          <w:p w14:paraId="7E96FD6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4EEF19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F281BE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FA3745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770097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continue"/>
            <w:tcBorders>
              <w:left w:val="single" w:color="000000" w:sz="6" w:space="0"/>
            </w:tcBorders>
            <w:vAlign w:val="center"/>
          </w:tcPr>
          <w:p w14:paraId="10C6EFA3">
            <w:pPr>
              <w:pStyle w:val="4"/>
              <w:jc w:val="center"/>
            </w:pPr>
          </w:p>
        </w:tc>
        <w:tc>
          <w:tcPr>
            <w:tcW w:w="1328" w:type="dxa"/>
            <w:gridSpan w:val="3"/>
            <w:vMerge w:val="continue"/>
            <w:vAlign w:val="center"/>
          </w:tcPr>
          <w:p w14:paraId="18E96462">
            <w:pPr>
              <w:pStyle w:val="4"/>
              <w:jc w:val="center"/>
            </w:pPr>
          </w:p>
        </w:tc>
        <w:tc>
          <w:tcPr>
            <w:tcW w:w="4478" w:type="dxa"/>
            <w:vMerge w:val="continue"/>
            <w:vAlign w:val="center"/>
          </w:tcPr>
          <w:p w14:paraId="7CD8EE82">
            <w:pPr>
              <w:pStyle w:val="4"/>
              <w:jc w:val="center"/>
            </w:pPr>
          </w:p>
        </w:tc>
        <w:tc>
          <w:tcPr>
            <w:tcW w:w="995" w:type="dxa"/>
            <w:vAlign w:val="center"/>
          </w:tcPr>
          <w:p w14:paraId="4217A96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18E08F9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2F0C411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62027C1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6D3256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restart"/>
            <w:tcBorders>
              <w:left w:val="single" w:color="000000" w:sz="6" w:space="0"/>
            </w:tcBorders>
            <w:vAlign w:val="center"/>
          </w:tcPr>
          <w:p w14:paraId="23C5D4B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5.2</w:t>
            </w:r>
          </w:p>
        </w:tc>
        <w:tc>
          <w:tcPr>
            <w:tcW w:w="1328" w:type="dxa"/>
            <w:gridSpan w:val="3"/>
            <w:vMerge w:val="restart"/>
            <w:vAlign w:val="center"/>
          </w:tcPr>
          <w:p w14:paraId="4E823CE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制动器结构检查</w:t>
            </w:r>
          </w:p>
        </w:tc>
        <w:tc>
          <w:tcPr>
            <w:tcW w:w="4478" w:type="dxa"/>
            <w:vMerge w:val="restart"/>
            <w:vAlign w:val="center"/>
          </w:tcPr>
          <w:p w14:paraId="26E9AF8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制动器不应出现下列情况之一：</w:t>
            </w:r>
          </w:p>
          <w:p w14:paraId="2C8AE56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a)制动衬块严重磨损或者制动弹簧失效，导致制动力不足</w:t>
            </w:r>
          </w:p>
          <w:p w14:paraId="3DA9560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b)受力结构件出现裂纹或者严重磨损</w:t>
            </w:r>
          </w:p>
          <w:p w14:paraId="7463813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c)制动器电磁线圈防尘件破损</w:t>
            </w:r>
          </w:p>
          <w:p w14:paraId="1E60823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d)制动衬块(制动钳)以及制动面上有油污</w:t>
            </w:r>
          </w:p>
        </w:tc>
        <w:tc>
          <w:tcPr>
            <w:tcW w:w="995" w:type="dxa"/>
            <w:vAlign w:val="center"/>
          </w:tcPr>
          <w:p w14:paraId="158068D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43D3DE4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35DE451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2A192D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2D3B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continue"/>
            <w:tcBorders>
              <w:left w:val="single" w:color="000000" w:sz="6" w:space="0"/>
            </w:tcBorders>
            <w:vAlign w:val="center"/>
          </w:tcPr>
          <w:p w14:paraId="3F352823">
            <w:pPr>
              <w:pStyle w:val="4"/>
              <w:jc w:val="center"/>
            </w:pPr>
          </w:p>
        </w:tc>
        <w:tc>
          <w:tcPr>
            <w:tcW w:w="1328" w:type="dxa"/>
            <w:gridSpan w:val="3"/>
            <w:vMerge w:val="continue"/>
            <w:vAlign w:val="center"/>
          </w:tcPr>
          <w:p w14:paraId="0737009F">
            <w:pPr>
              <w:pStyle w:val="4"/>
              <w:jc w:val="center"/>
            </w:pPr>
          </w:p>
        </w:tc>
        <w:tc>
          <w:tcPr>
            <w:tcW w:w="4478" w:type="dxa"/>
            <w:vMerge w:val="continue"/>
            <w:vAlign w:val="center"/>
          </w:tcPr>
          <w:p w14:paraId="1DCE3EF7">
            <w:pPr>
              <w:pStyle w:val="4"/>
              <w:jc w:val="center"/>
            </w:pPr>
          </w:p>
        </w:tc>
        <w:tc>
          <w:tcPr>
            <w:tcW w:w="995" w:type="dxa"/>
            <w:vAlign w:val="center"/>
          </w:tcPr>
          <w:p w14:paraId="552D6A6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A5D9C9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694E95D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517DF09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0FA90A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jc w:val="center"/>
        </w:trPr>
        <w:tc>
          <w:tcPr>
            <w:tcW w:w="544" w:type="dxa"/>
            <w:vMerge w:val="restart"/>
            <w:tcBorders>
              <w:left w:val="single" w:color="000000" w:sz="6" w:space="0"/>
            </w:tcBorders>
            <w:vAlign w:val="center"/>
          </w:tcPr>
          <w:p w14:paraId="2E7FF5E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5.4</w:t>
            </w:r>
          </w:p>
        </w:tc>
        <w:tc>
          <w:tcPr>
            <w:tcW w:w="1328" w:type="dxa"/>
            <w:gridSpan w:val="3"/>
            <w:vMerge w:val="restart"/>
            <w:vAlign w:val="center"/>
          </w:tcPr>
          <w:p w14:paraId="5285764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制动器工作状况</w:t>
            </w:r>
          </w:p>
        </w:tc>
        <w:tc>
          <w:tcPr>
            <w:tcW w:w="4478" w:type="dxa"/>
            <w:vMerge w:val="restart"/>
            <w:vAlign w:val="center"/>
          </w:tcPr>
          <w:p w14:paraId="3FAF052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制动器应动作灵活，制动时制动衬块(制动钳)应紧密、均匀地贴合在制动面上；电梯运行时制动衬块(制动钳)不应与制动面发生摩擦</w:t>
            </w:r>
          </w:p>
        </w:tc>
        <w:tc>
          <w:tcPr>
            <w:tcW w:w="995" w:type="dxa"/>
            <w:vAlign w:val="center"/>
          </w:tcPr>
          <w:p w14:paraId="0D90A09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9FA0B4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29289EF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32A7AF9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65A2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jc w:val="center"/>
        </w:trPr>
        <w:tc>
          <w:tcPr>
            <w:tcW w:w="544" w:type="dxa"/>
            <w:vMerge w:val="continue"/>
            <w:tcBorders>
              <w:left w:val="single" w:color="000000" w:sz="6" w:space="0"/>
            </w:tcBorders>
            <w:vAlign w:val="center"/>
          </w:tcPr>
          <w:p w14:paraId="37AF8C79">
            <w:pPr>
              <w:pStyle w:val="4"/>
              <w:jc w:val="center"/>
            </w:pPr>
          </w:p>
        </w:tc>
        <w:tc>
          <w:tcPr>
            <w:tcW w:w="1328" w:type="dxa"/>
            <w:gridSpan w:val="3"/>
            <w:vMerge w:val="continue"/>
            <w:vAlign w:val="center"/>
          </w:tcPr>
          <w:p w14:paraId="75BECE24">
            <w:pPr>
              <w:pStyle w:val="4"/>
              <w:jc w:val="center"/>
            </w:pPr>
          </w:p>
        </w:tc>
        <w:tc>
          <w:tcPr>
            <w:tcW w:w="4478" w:type="dxa"/>
            <w:vMerge w:val="continue"/>
            <w:vAlign w:val="center"/>
          </w:tcPr>
          <w:p w14:paraId="59CF8D18">
            <w:pPr>
              <w:pStyle w:val="4"/>
              <w:jc w:val="center"/>
            </w:pPr>
          </w:p>
        </w:tc>
        <w:tc>
          <w:tcPr>
            <w:tcW w:w="995" w:type="dxa"/>
            <w:vAlign w:val="center"/>
          </w:tcPr>
          <w:p w14:paraId="0D70505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CCD186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337434F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471516C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1FD96E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2" w:hRule="atLeast"/>
          <w:jc w:val="center"/>
        </w:trPr>
        <w:tc>
          <w:tcPr>
            <w:tcW w:w="544" w:type="dxa"/>
            <w:vMerge w:val="restart"/>
            <w:tcBorders>
              <w:left w:val="single" w:color="000000" w:sz="6" w:space="0"/>
            </w:tcBorders>
            <w:vAlign w:val="center"/>
          </w:tcPr>
          <w:p w14:paraId="3163DCA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6.5</w:t>
            </w:r>
          </w:p>
        </w:tc>
        <w:tc>
          <w:tcPr>
            <w:tcW w:w="1328" w:type="dxa"/>
            <w:gridSpan w:val="3"/>
            <w:vMerge w:val="restart"/>
            <w:vAlign w:val="center"/>
          </w:tcPr>
          <w:p w14:paraId="24D937B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制动器手动机械操作装置</w:t>
            </w:r>
          </w:p>
        </w:tc>
        <w:tc>
          <w:tcPr>
            <w:tcW w:w="4478" w:type="dxa"/>
            <w:vMerge w:val="restart"/>
            <w:vAlign w:val="center"/>
          </w:tcPr>
          <w:p w14:paraId="3EE2754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手动机械操作装置制动器扳手不应出现严重变形 或裂纹，制动器扳手组件不应出现严重锈蚀、变形或裂纹，拉索元件不应出现严重锈蚀、卡阻或断裂</w:t>
            </w:r>
          </w:p>
        </w:tc>
        <w:tc>
          <w:tcPr>
            <w:tcW w:w="995" w:type="dxa"/>
            <w:vAlign w:val="center"/>
          </w:tcPr>
          <w:p w14:paraId="085800B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6EF2D4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002361E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w:t>
            </w:r>
          </w:p>
        </w:tc>
        <w:tc>
          <w:tcPr>
            <w:tcW w:w="629" w:type="dxa"/>
            <w:tcBorders>
              <w:right w:val="single" w:color="000000" w:sz="6" w:space="0"/>
            </w:tcBorders>
            <w:vAlign w:val="center"/>
          </w:tcPr>
          <w:p w14:paraId="0120403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6B1CC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7" w:hRule="atLeast"/>
          <w:jc w:val="center"/>
        </w:trPr>
        <w:tc>
          <w:tcPr>
            <w:tcW w:w="544" w:type="dxa"/>
            <w:vMerge w:val="continue"/>
            <w:tcBorders>
              <w:left w:val="single" w:color="000000" w:sz="6" w:space="0"/>
            </w:tcBorders>
            <w:vAlign w:val="center"/>
          </w:tcPr>
          <w:p w14:paraId="4275C5DE">
            <w:pPr>
              <w:pStyle w:val="4"/>
              <w:jc w:val="center"/>
            </w:pPr>
          </w:p>
        </w:tc>
        <w:tc>
          <w:tcPr>
            <w:tcW w:w="1328" w:type="dxa"/>
            <w:gridSpan w:val="3"/>
            <w:vMerge w:val="continue"/>
            <w:vAlign w:val="center"/>
          </w:tcPr>
          <w:p w14:paraId="5537389B">
            <w:pPr>
              <w:pStyle w:val="4"/>
              <w:jc w:val="center"/>
            </w:pPr>
          </w:p>
        </w:tc>
        <w:tc>
          <w:tcPr>
            <w:tcW w:w="4478" w:type="dxa"/>
            <w:vMerge w:val="continue"/>
            <w:vAlign w:val="center"/>
          </w:tcPr>
          <w:p w14:paraId="2802A05E">
            <w:pPr>
              <w:pStyle w:val="4"/>
              <w:jc w:val="center"/>
            </w:pPr>
          </w:p>
        </w:tc>
        <w:tc>
          <w:tcPr>
            <w:tcW w:w="995" w:type="dxa"/>
            <w:vAlign w:val="center"/>
          </w:tcPr>
          <w:p w14:paraId="7B81672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C394E7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4983778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5B9E224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33A2BC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8" w:hRule="atLeast"/>
          <w:jc w:val="center"/>
        </w:trPr>
        <w:tc>
          <w:tcPr>
            <w:tcW w:w="544" w:type="dxa"/>
            <w:vMerge w:val="restart"/>
            <w:tcBorders>
              <w:left w:val="single" w:color="000000" w:sz="6" w:space="0"/>
            </w:tcBorders>
            <w:vAlign w:val="center"/>
          </w:tcPr>
          <w:p w14:paraId="50A5A16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6.6</w:t>
            </w:r>
          </w:p>
        </w:tc>
        <w:tc>
          <w:tcPr>
            <w:tcW w:w="1328" w:type="dxa"/>
            <w:gridSpan w:val="3"/>
            <w:vMerge w:val="restart"/>
            <w:vAlign w:val="center"/>
          </w:tcPr>
          <w:p w14:paraId="2B3EFD2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手动盘车装置</w:t>
            </w:r>
          </w:p>
        </w:tc>
        <w:tc>
          <w:tcPr>
            <w:tcW w:w="4478" w:type="dxa"/>
            <w:vMerge w:val="restart"/>
            <w:vAlign w:val="center"/>
          </w:tcPr>
          <w:p w14:paraId="31440A8D">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a)对于可拆卸盘车手轮，设有一个电气安全装置，最迟在盘车手轮装上电梯驱动主机时动作</w:t>
            </w:r>
          </w:p>
          <w:p w14:paraId="601EB13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b)盘车手轮不应出现严重锈蚀、变形、裂纹或缺损，焊接部位不应出现裂纹,盘车齿轮副啮合有效，盘车齿轮无裂纹或断齿</w:t>
            </w:r>
          </w:p>
        </w:tc>
        <w:tc>
          <w:tcPr>
            <w:tcW w:w="995" w:type="dxa"/>
            <w:vAlign w:val="center"/>
          </w:tcPr>
          <w:p w14:paraId="679281D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9C74CA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224790F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w:t>
            </w:r>
          </w:p>
        </w:tc>
        <w:tc>
          <w:tcPr>
            <w:tcW w:w="629" w:type="dxa"/>
            <w:tcBorders>
              <w:right w:val="single" w:color="000000" w:sz="6" w:space="0"/>
            </w:tcBorders>
            <w:vAlign w:val="center"/>
          </w:tcPr>
          <w:p w14:paraId="2A1071C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3889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3" w:hRule="atLeast"/>
          <w:jc w:val="center"/>
        </w:trPr>
        <w:tc>
          <w:tcPr>
            <w:tcW w:w="544" w:type="dxa"/>
            <w:vMerge w:val="continue"/>
            <w:tcBorders>
              <w:left w:val="single" w:color="000000" w:sz="6" w:space="0"/>
            </w:tcBorders>
            <w:vAlign w:val="center"/>
          </w:tcPr>
          <w:p w14:paraId="1E0A1938">
            <w:pPr>
              <w:pStyle w:val="4"/>
              <w:jc w:val="center"/>
            </w:pPr>
          </w:p>
        </w:tc>
        <w:tc>
          <w:tcPr>
            <w:tcW w:w="1328" w:type="dxa"/>
            <w:gridSpan w:val="3"/>
            <w:vMerge w:val="continue"/>
            <w:vAlign w:val="center"/>
          </w:tcPr>
          <w:p w14:paraId="641BAA72">
            <w:pPr>
              <w:pStyle w:val="4"/>
              <w:jc w:val="center"/>
            </w:pPr>
          </w:p>
        </w:tc>
        <w:tc>
          <w:tcPr>
            <w:tcW w:w="4478" w:type="dxa"/>
            <w:vMerge w:val="continue"/>
            <w:vAlign w:val="center"/>
          </w:tcPr>
          <w:p w14:paraId="303161E2">
            <w:pPr>
              <w:pStyle w:val="4"/>
              <w:jc w:val="center"/>
            </w:pPr>
          </w:p>
        </w:tc>
        <w:tc>
          <w:tcPr>
            <w:tcW w:w="995" w:type="dxa"/>
            <w:vAlign w:val="center"/>
          </w:tcPr>
          <w:p w14:paraId="334D738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D89F21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24B5DF4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4017C4F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4F21DA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69" w:hRule="atLeast"/>
          <w:jc w:val="center"/>
        </w:trPr>
        <w:tc>
          <w:tcPr>
            <w:tcW w:w="544" w:type="dxa"/>
            <w:vMerge w:val="restart"/>
            <w:tcBorders>
              <w:left w:val="single" w:color="000000" w:sz="6" w:space="0"/>
            </w:tcBorders>
            <w:vAlign w:val="center"/>
          </w:tcPr>
          <w:p w14:paraId="1752509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7.2</w:t>
            </w:r>
          </w:p>
        </w:tc>
        <w:tc>
          <w:tcPr>
            <w:tcW w:w="1328" w:type="dxa"/>
            <w:gridSpan w:val="3"/>
            <w:vMerge w:val="restart"/>
            <w:vAlign w:val="center"/>
          </w:tcPr>
          <w:p w14:paraId="2D66424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w:t>
            </w:r>
          </w:p>
        </w:tc>
        <w:tc>
          <w:tcPr>
            <w:tcW w:w="4478" w:type="dxa"/>
            <w:vMerge w:val="restart"/>
            <w:vAlign w:val="center"/>
          </w:tcPr>
          <w:p w14:paraId="5EB4777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门扇不应出现下列情况之一：</w:t>
            </w:r>
          </w:p>
          <w:p w14:paraId="1091191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a)门扇严重锈蚀穿孔或破损穿孔</w:t>
            </w:r>
          </w:p>
          <w:p w14:paraId="7E71E55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b)门扇背部加强筋脱落</w:t>
            </w:r>
          </w:p>
          <w:p w14:paraId="1D43DA6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c)门扇严重变形，不符合GB/T 7588.1—2020中 5.3.1.4的要求 ;</w:t>
            </w:r>
          </w:p>
          <w:p w14:paraId="17D4F25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d)门扇外包层脱离(落)，导致开关门受阻或门扇强度不符合GB/T 7588.1—2020中5.3.5.3的要求</w:t>
            </w:r>
          </w:p>
          <w:p w14:paraId="31B929E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e)玻璃门扇出现裂纹或玻璃门扇边缘出现锋利缺口</w:t>
            </w:r>
          </w:p>
          <w:p w14:paraId="0FDE93E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f)玻璃固定件不符合GB/T 7588.1—2020中5.3. 5.3.6的要求</w:t>
            </w:r>
          </w:p>
        </w:tc>
        <w:tc>
          <w:tcPr>
            <w:tcW w:w="995" w:type="dxa"/>
            <w:vAlign w:val="center"/>
          </w:tcPr>
          <w:p w14:paraId="490C9B0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454BC4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7AC6F2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3DFE49A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1DE73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69" w:hRule="atLeast"/>
          <w:jc w:val="center"/>
        </w:trPr>
        <w:tc>
          <w:tcPr>
            <w:tcW w:w="544" w:type="dxa"/>
            <w:vMerge w:val="continue"/>
            <w:tcBorders>
              <w:left w:val="single" w:color="000000" w:sz="6" w:space="0"/>
            </w:tcBorders>
            <w:vAlign w:val="center"/>
          </w:tcPr>
          <w:p w14:paraId="5B7272F2">
            <w:pPr>
              <w:pStyle w:val="4"/>
              <w:jc w:val="center"/>
            </w:pPr>
          </w:p>
        </w:tc>
        <w:tc>
          <w:tcPr>
            <w:tcW w:w="1328" w:type="dxa"/>
            <w:gridSpan w:val="3"/>
            <w:vMerge w:val="continue"/>
            <w:vAlign w:val="center"/>
          </w:tcPr>
          <w:p w14:paraId="28597BB5">
            <w:pPr>
              <w:pStyle w:val="4"/>
              <w:jc w:val="center"/>
            </w:pPr>
          </w:p>
        </w:tc>
        <w:tc>
          <w:tcPr>
            <w:tcW w:w="4478" w:type="dxa"/>
            <w:vMerge w:val="continue"/>
            <w:vAlign w:val="center"/>
          </w:tcPr>
          <w:p w14:paraId="3E7C562F">
            <w:pPr>
              <w:pStyle w:val="4"/>
              <w:jc w:val="center"/>
            </w:pPr>
          </w:p>
        </w:tc>
        <w:tc>
          <w:tcPr>
            <w:tcW w:w="995" w:type="dxa"/>
            <w:vAlign w:val="center"/>
          </w:tcPr>
          <w:p w14:paraId="22DC8ED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FCDC2F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206CFD4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08F542E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54949D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jc w:val="center"/>
        </w:trPr>
        <w:tc>
          <w:tcPr>
            <w:tcW w:w="544" w:type="dxa"/>
            <w:vMerge w:val="restart"/>
            <w:tcBorders>
              <w:left w:val="single" w:color="000000" w:sz="6" w:space="0"/>
            </w:tcBorders>
            <w:vAlign w:val="center"/>
          </w:tcPr>
          <w:p w14:paraId="5DDFC63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7.3</w:t>
            </w:r>
          </w:p>
        </w:tc>
        <w:tc>
          <w:tcPr>
            <w:tcW w:w="1328" w:type="dxa"/>
            <w:gridSpan w:val="3"/>
            <w:vMerge w:val="restart"/>
            <w:vAlign w:val="center"/>
          </w:tcPr>
          <w:p w14:paraId="06327D6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w:t>
            </w:r>
          </w:p>
        </w:tc>
        <w:tc>
          <w:tcPr>
            <w:tcW w:w="4478" w:type="dxa"/>
            <w:vMerge w:val="restart"/>
            <w:vAlign w:val="center"/>
          </w:tcPr>
          <w:p w14:paraId="042604E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层门门套不应出现下列情况之一：</w:t>
            </w:r>
          </w:p>
          <w:p w14:paraId="08968A43">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a)层门门套严重变形，与门扇间隙不符合GB/T 7588.1—2020中5.3.1.4的要求</w:t>
            </w:r>
          </w:p>
          <w:p w14:paraId="100B4E39">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b)层门门套严重锈蚀</w:t>
            </w:r>
          </w:p>
          <w:p w14:paraId="5B54D2F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c)层门门套松动</w:t>
            </w:r>
          </w:p>
        </w:tc>
        <w:tc>
          <w:tcPr>
            <w:tcW w:w="995" w:type="dxa"/>
            <w:vAlign w:val="center"/>
          </w:tcPr>
          <w:p w14:paraId="357474B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621137A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2203501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4A0424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F4BC5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1" w:hRule="atLeast"/>
          <w:jc w:val="center"/>
        </w:trPr>
        <w:tc>
          <w:tcPr>
            <w:tcW w:w="544" w:type="dxa"/>
            <w:vMerge w:val="continue"/>
            <w:tcBorders>
              <w:left w:val="single" w:color="000000" w:sz="6" w:space="0"/>
            </w:tcBorders>
            <w:vAlign w:val="center"/>
          </w:tcPr>
          <w:p w14:paraId="57581364">
            <w:pPr>
              <w:pStyle w:val="4"/>
              <w:jc w:val="center"/>
            </w:pPr>
          </w:p>
        </w:tc>
        <w:tc>
          <w:tcPr>
            <w:tcW w:w="1328" w:type="dxa"/>
            <w:gridSpan w:val="3"/>
            <w:vMerge w:val="continue"/>
            <w:vAlign w:val="center"/>
          </w:tcPr>
          <w:p w14:paraId="0FC907B0">
            <w:pPr>
              <w:pStyle w:val="4"/>
              <w:jc w:val="center"/>
            </w:pPr>
          </w:p>
        </w:tc>
        <w:tc>
          <w:tcPr>
            <w:tcW w:w="4478" w:type="dxa"/>
            <w:vMerge w:val="continue"/>
            <w:vAlign w:val="center"/>
          </w:tcPr>
          <w:p w14:paraId="70DF8D6C">
            <w:pPr>
              <w:pStyle w:val="4"/>
              <w:jc w:val="center"/>
            </w:pPr>
          </w:p>
        </w:tc>
        <w:tc>
          <w:tcPr>
            <w:tcW w:w="995" w:type="dxa"/>
            <w:vAlign w:val="center"/>
          </w:tcPr>
          <w:p w14:paraId="285F639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602E650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7191749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36FBC47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4C837A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restart"/>
            <w:tcBorders>
              <w:left w:val="single" w:color="000000" w:sz="6" w:space="0"/>
            </w:tcBorders>
            <w:vAlign w:val="center"/>
          </w:tcPr>
          <w:p w14:paraId="37DC13E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7.4</w:t>
            </w:r>
          </w:p>
        </w:tc>
        <w:tc>
          <w:tcPr>
            <w:tcW w:w="1328" w:type="dxa"/>
            <w:gridSpan w:val="3"/>
            <w:vMerge w:val="restart"/>
            <w:vAlign w:val="center"/>
          </w:tcPr>
          <w:p w14:paraId="2D752A9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w:t>
            </w:r>
          </w:p>
        </w:tc>
        <w:tc>
          <w:tcPr>
            <w:tcW w:w="4478" w:type="dxa"/>
            <w:vMerge w:val="restart"/>
            <w:vAlign w:val="center"/>
          </w:tcPr>
          <w:p w14:paraId="19B2DCD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层门地坎不应出现下列情况之一：</w:t>
            </w:r>
          </w:p>
          <w:p w14:paraId="5E7CF1D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a)地坎变形，与门扇间隙不符合GB/T 7588.1—2020中5.3.1.4的要求</w:t>
            </w:r>
          </w:p>
          <w:p w14:paraId="4A0BDFC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b)地坎滑槽变形，影响门扇正常运行或导致门导靴脱轨</w:t>
            </w:r>
          </w:p>
          <w:p w14:paraId="137AB03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c)地坎出现断裂、开焊、严重磨损或腐蚀，影响层门和轿门正常运行</w:t>
            </w:r>
          </w:p>
        </w:tc>
        <w:tc>
          <w:tcPr>
            <w:tcW w:w="995" w:type="dxa"/>
            <w:vAlign w:val="center"/>
          </w:tcPr>
          <w:p w14:paraId="443A857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6671D94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2ACBE94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2E470FB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6AECD4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continue"/>
            <w:tcBorders>
              <w:left w:val="single" w:color="000000" w:sz="6" w:space="0"/>
            </w:tcBorders>
            <w:vAlign w:val="center"/>
          </w:tcPr>
          <w:p w14:paraId="0B0E7002">
            <w:pPr>
              <w:pStyle w:val="4"/>
              <w:jc w:val="center"/>
            </w:pPr>
          </w:p>
        </w:tc>
        <w:tc>
          <w:tcPr>
            <w:tcW w:w="1328" w:type="dxa"/>
            <w:gridSpan w:val="3"/>
            <w:vMerge w:val="continue"/>
            <w:vAlign w:val="center"/>
          </w:tcPr>
          <w:p w14:paraId="3B4F5A65">
            <w:pPr>
              <w:pStyle w:val="4"/>
              <w:jc w:val="center"/>
            </w:pPr>
          </w:p>
        </w:tc>
        <w:tc>
          <w:tcPr>
            <w:tcW w:w="4478" w:type="dxa"/>
            <w:vMerge w:val="continue"/>
            <w:vAlign w:val="center"/>
          </w:tcPr>
          <w:p w14:paraId="4DBB50F1">
            <w:pPr>
              <w:pStyle w:val="4"/>
              <w:jc w:val="center"/>
            </w:pPr>
          </w:p>
        </w:tc>
        <w:tc>
          <w:tcPr>
            <w:tcW w:w="995" w:type="dxa"/>
            <w:vAlign w:val="center"/>
          </w:tcPr>
          <w:p w14:paraId="23A0567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B480B7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341594B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0E8BB69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5DA63E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jc w:val="center"/>
        </w:trPr>
        <w:tc>
          <w:tcPr>
            <w:tcW w:w="544" w:type="dxa"/>
            <w:vMerge w:val="restart"/>
            <w:tcBorders>
              <w:left w:val="single" w:color="000000" w:sz="6" w:space="0"/>
            </w:tcBorders>
            <w:vAlign w:val="center"/>
          </w:tcPr>
          <w:p w14:paraId="11C3A34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7.13</w:t>
            </w:r>
          </w:p>
        </w:tc>
        <w:tc>
          <w:tcPr>
            <w:tcW w:w="1328" w:type="dxa"/>
            <w:gridSpan w:val="3"/>
            <w:vMerge w:val="restart"/>
            <w:vAlign w:val="center"/>
          </w:tcPr>
          <w:p w14:paraId="415A39F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层门、轿门运动相关的保护</w:t>
            </w:r>
          </w:p>
        </w:tc>
        <w:tc>
          <w:tcPr>
            <w:tcW w:w="4478" w:type="dxa"/>
            <w:vMerge w:val="restart"/>
            <w:vAlign w:val="center"/>
          </w:tcPr>
          <w:p w14:paraId="0159D629">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为了避免运行期间发生剪切的危险，动力驱动的自动滑动门外表面不应有大于3 mm 的凹进或凸出部分，这些凹进或凸出部分的边缘应在开门运行方向上倒角</w:t>
            </w:r>
          </w:p>
        </w:tc>
        <w:tc>
          <w:tcPr>
            <w:tcW w:w="995" w:type="dxa"/>
            <w:vAlign w:val="center"/>
          </w:tcPr>
          <w:p w14:paraId="4F16097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341478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0B712C7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330D359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260C2C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3" w:hRule="atLeast"/>
          <w:jc w:val="center"/>
        </w:trPr>
        <w:tc>
          <w:tcPr>
            <w:tcW w:w="544" w:type="dxa"/>
            <w:vMerge w:val="continue"/>
            <w:tcBorders>
              <w:left w:val="single" w:color="000000" w:sz="6" w:space="0"/>
            </w:tcBorders>
            <w:vAlign w:val="center"/>
          </w:tcPr>
          <w:p w14:paraId="0BB0B599">
            <w:pPr>
              <w:pStyle w:val="4"/>
              <w:jc w:val="center"/>
            </w:pPr>
          </w:p>
        </w:tc>
        <w:tc>
          <w:tcPr>
            <w:tcW w:w="1328" w:type="dxa"/>
            <w:gridSpan w:val="3"/>
            <w:vMerge w:val="continue"/>
            <w:vAlign w:val="center"/>
          </w:tcPr>
          <w:p w14:paraId="31CF115F">
            <w:pPr>
              <w:pStyle w:val="4"/>
              <w:jc w:val="center"/>
            </w:pPr>
          </w:p>
        </w:tc>
        <w:tc>
          <w:tcPr>
            <w:tcW w:w="4478" w:type="dxa"/>
            <w:vMerge w:val="continue"/>
            <w:vAlign w:val="center"/>
          </w:tcPr>
          <w:p w14:paraId="24E08F72">
            <w:pPr>
              <w:pStyle w:val="4"/>
              <w:jc w:val="center"/>
            </w:pPr>
          </w:p>
        </w:tc>
        <w:tc>
          <w:tcPr>
            <w:tcW w:w="995" w:type="dxa"/>
            <w:vAlign w:val="center"/>
          </w:tcPr>
          <w:p w14:paraId="748D25C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BD8421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7802CD6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3EDE266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6D6B54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jc w:val="center"/>
        </w:trPr>
        <w:tc>
          <w:tcPr>
            <w:tcW w:w="544" w:type="dxa"/>
            <w:vMerge w:val="restart"/>
            <w:tcBorders>
              <w:left w:val="single" w:color="000000" w:sz="6" w:space="0"/>
            </w:tcBorders>
            <w:vAlign w:val="center"/>
          </w:tcPr>
          <w:p w14:paraId="1179EB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8.3</w:t>
            </w:r>
          </w:p>
        </w:tc>
        <w:tc>
          <w:tcPr>
            <w:tcW w:w="1328" w:type="dxa"/>
            <w:gridSpan w:val="3"/>
            <w:vMerge w:val="restart"/>
            <w:vAlign w:val="center"/>
          </w:tcPr>
          <w:p w14:paraId="61151A1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接地</w:t>
            </w:r>
          </w:p>
        </w:tc>
        <w:tc>
          <w:tcPr>
            <w:tcW w:w="4478" w:type="dxa"/>
            <w:vMerge w:val="restart"/>
            <w:vAlign w:val="center"/>
          </w:tcPr>
          <w:p w14:paraId="07AEC73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a)供电电源自进入机房(机器设备间)起，中性导 体(N，零线)与保护导体(PE，地线)应始终分开</w:t>
            </w:r>
          </w:p>
          <w:p w14:paraId="19CA4D8D">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b)所有电气设备及线管、线槽的外露可以导电部分应与保护导体(PE，地线)可靠连接</w:t>
            </w:r>
          </w:p>
          <w:p w14:paraId="0A764183">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c)除36V及以下安全电压外的电气设备金属罩壳均应设有易于识别的接地端，且应有良好的接地</w:t>
            </w:r>
          </w:p>
          <w:p w14:paraId="02340A4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d)接地线应采用黄绿双色绝缘电线分别直接接至接地端上，不应互相串接后再接地</w:t>
            </w:r>
          </w:p>
        </w:tc>
        <w:tc>
          <w:tcPr>
            <w:tcW w:w="995" w:type="dxa"/>
            <w:vAlign w:val="center"/>
          </w:tcPr>
          <w:p w14:paraId="5B5B302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1427F31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6183D6A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57AA65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9DD58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jc w:val="center"/>
        </w:trPr>
        <w:tc>
          <w:tcPr>
            <w:tcW w:w="544" w:type="dxa"/>
            <w:vMerge w:val="continue"/>
            <w:tcBorders>
              <w:left w:val="single" w:color="000000" w:sz="6" w:space="0"/>
            </w:tcBorders>
            <w:vAlign w:val="center"/>
          </w:tcPr>
          <w:p w14:paraId="4FB0104F">
            <w:pPr>
              <w:pStyle w:val="4"/>
              <w:jc w:val="center"/>
            </w:pPr>
          </w:p>
        </w:tc>
        <w:tc>
          <w:tcPr>
            <w:tcW w:w="1328" w:type="dxa"/>
            <w:gridSpan w:val="3"/>
            <w:vMerge w:val="continue"/>
            <w:vAlign w:val="center"/>
          </w:tcPr>
          <w:p w14:paraId="31DD689D">
            <w:pPr>
              <w:pStyle w:val="4"/>
              <w:jc w:val="center"/>
            </w:pPr>
          </w:p>
        </w:tc>
        <w:tc>
          <w:tcPr>
            <w:tcW w:w="4478" w:type="dxa"/>
            <w:vMerge w:val="continue"/>
            <w:vAlign w:val="center"/>
          </w:tcPr>
          <w:p w14:paraId="6696F47B">
            <w:pPr>
              <w:pStyle w:val="4"/>
              <w:jc w:val="center"/>
            </w:pPr>
          </w:p>
        </w:tc>
        <w:tc>
          <w:tcPr>
            <w:tcW w:w="995" w:type="dxa"/>
            <w:vAlign w:val="center"/>
          </w:tcPr>
          <w:p w14:paraId="5FDCC21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17D240A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00F6B4B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70A7A16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1D6187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jc w:val="center"/>
        </w:trPr>
        <w:tc>
          <w:tcPr>
            <w:tcW w:w="544" w:type="dxa"/>
            <w:vMerge w:val="restart"/>
            <w:tcBorders>
              <w:left w:val="single" w:color="000000" w:sz="6" w:space="0"/>
            </w:tcBorders>
            <w:vAlign w:val="center"/>
          </w:tcPr>
          <w:p w14:paraId="1BEAEA1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8.6</w:t>
            </w:r>
          </w:p>
        </w:tc>
        <w:tc>
          <w:tcPr>
            <w:tcW w:w="1328" w:type="dxa"/>
            <w:gridSpan w:val="3"/>
            <w:vMerge w:val="restart"/>
            <w:vAlign w:val="center"/>
          </w:tcPr>
          <w:p w14:paraId="5D8DCB9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接线</w:t>
            </w:r>
          </w:p>
        </w:tc>
        <w:tc>
          <w:tcPr>
            <w:tcW w:w="4478" w:type="dxa"/>
            <w:vMerge w:val="restart"/>
            <w:vAlign w:val="center"/>
          </w:tcPr>
          <w:p w14:paraId="63C7835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电梯动力线路和控制线路宜分离敷设或者采取屏蔽措施</w:t>
            </w:r>
          </w:p>
        </w:tc>
        <w:tc>
          <w:tcPr>
            <w:tcW w:w="995" w:type="dxa"/>
            <w:vAlign w:val="center"/>
          </w:tcPr>
          <w:p w14:paraId="416D9DF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21EDFE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0B05414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170CFC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B1531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jc w:val="center"/>
        </w:trPr>
        <w:tc>
          <w:tcPr>
            <w:tcW w:w="544" w:type="dxa"/>
            <w:vMerge w:val="continue"/>
            <w:tcBorders>
              <w:left w:val="single" w:color="000000" w:sz="6" w:space="0"/>
            </w:tcBorders>
            <w:vAlign w:val="center"/>
          </w:tcPr>
          <w:p w14:paraId="684BEC2F">
            <w:pPr>
              <w:pStyle w:val="4"/>
              <w:jc w:val="center"/>
            </w:pPr>
          </w:p>
        </w:tc>
        <w:tc>
          <w:tcPr>
            <w:tcW w:w="1328" w:type="dxa"/>
            <w:gridSpan w:val="3"/>
            <w:vMerge w:val="continue"/>
            <w:vAlign w:val="center"/>
          </w:tcPr>
          <w:p w14:paraId="57D6CB7D">
            <w:pPr>
              <w:pStyle w:val="4"/>
              <w:jc w:val="center"/>
            </w:pPr>
          </w:p>
        </w:tc>
        <w:tc>
          <w:tcPr>
            <w:tcW w:w="4478" w:type="dxa"/>
            <w:vMerge w:val="continue"/>
            <w:vAlign w:val="center"/>
          </w:tcPr>
          <w:p w14:paraId="333AE4DD">
            <w:pPr>
              <w:pStyle w:val="4"/>
              <w:jc w:val="center"/>
            </w:pPr>
          </w:p>
        </w:tc>
        <w:tc>
          <w:tcPr>
            <w:tcW w:w="995" w:type="dxa"/>
            <w:vAlign w:val="center"/>
          </w:tcPr>
          <w:p w14:paraId="4587A6F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00DEE3B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6207A8A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4EEAEFD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5474FC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69" w:hRule="atLeast"/>
          <w:jc w:val="center"/>
        </w:trPr>
        <w:tc>
          <w:tcPr>
            <w:tcW w:w="544" w:type="dxa"/>
            <w:vMerge w:val="restart"/>
            <w:tcBorders>
              <w:left w:val="single" w:color="000000" w:sz="6" w:space="0"/>
            </w:tcBorders>
            <w:vAlign w:val="center"/>
          </w:tcPr>
          <w:p w14:paraId="67B3A0A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9.1</w:t>
            </w:r>
          </w:p>
        </w:tc>
        <w:tc>
          <w:tcPr>
            <w:tcW w:w="1328" w:type="dxa"/>
            <w:gridSpan w:val="3"/>
            <w:vMerge w:val="restart"/>
            <w:vAlign w:val="center"/>
          </w:tcPr>
          <w:p w14:paraId="220E60D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随行电缆</w:t>
            </w:r>
          </w:p>
        </w:tc>
        <w:tc>
          <w:tcPr>
            <w:tcW w:w="4478" w:type="dxa"/>
            <w:vMerge w:val="restart"/>
            <w:vAlign w:val="center"/>
          </w:tcPr>
          <w:p w14:paraId="0C17D30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a)随行电缆(含监控线)不应出现下列情况之一：</w:t>
            </w:r>
          </w:p>
          <w:p w14:paraId="14B7A2AD">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1)护套出现开裂，导致线芯外露</w:t>
            </w:r>
          </w:p>
          <w:p w14:paraId="5E466C04">
            <w:pPr>
              <w:pStyle w:val="4"/>
              <w:ind w:left="441" w:leftChars="110" w:hanging="210" w:hanging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2)绝缘材料发生破损、老化，导致线芯外露或绝缘电阻不符合GB/T 7588.1—2020中5.10.1.3的要求</w:t>
            </w:r>
          </w:p>
          <w:p w14:paraId="05AC5C81">
            <w:pPr>
              <w:pStyle w:val="4"/>
              <w:ind w:left="441" w:leftChars="110" w:hanging="210" w:hanging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3)线芯发生断裂或短路，电缆的备用线无法满 足需要</w:t>
            </w:r>
          </w:p>
          <w:p w14:paraId="16AA32D4">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4)电缆严重变形、扭曲</w:t>
            </w:r>
          </w:p>
          <w:p w14:paraId="610B7EF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b)随行电缆应固定良好，避免与限速器绳、选层器钢带、限位与极限开关等装置干涉，当轿厢压实在缓冲器上时，随行电缆活动部分不应与地面和轿厢底边框接触</w:t>
            </w:r>
          </w:p>
        </w:tc>
        <w:tc>
          <w:tcPr>
            <w:tcW w:w="995" w:type="dxa"/>
            <w:vAlign w:val="center"/>
          </w:tcPr>
          <w:p w14:paraId="6D4429F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1F34D85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4F470A9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2A50F0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54D25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69" w:hRule="atLeast"/>
          <w:jc w:val="center"/>
        </w:trPr>
        <w:tc>
          <w:tcPr>
            <w:tcW w:w="544" w:type="dxa"/>
            <w:vMerge w:val="continue"/>
            <w:tcBorders>
              <w:left w:val="single" w:color="000000" w:sz="6" w:space="0"/>
            </w:tcBorders>
            <w:vAlign w:val="center"/>
          </w:tcPr>
          <w:p w14:paraId="2C224FBE">
            <w:pPr>
              <w:pStyle w:val="4"/>
              <w:jc w:val="center"/>
            </w:pPr>
          </w:p>
        </w:tc>
        <w:tc>
          <w:tcPr>
            <w:tcW w:w="1328" w:type="dxa"/>
            <w:gridSpan w:val="3"/>
            <w:vMerge w:val="continue"/>
            <w:vAlign w:val="center"/>
          </w:tcPr>
          <w:p w14:paraId="7EBE7CEC">
            <w:pPr>
              <w:pStyle w:val="4"/>
              <w:jc w:val="center"/>
            </w:pPr>
          </w:p>
        </w:tc>
        <w:tc>
          <w:tcPr>
            <w:tcW w:w="4478" w:type="dxa"/>
            <w:vMerge w:val="continue"/>
            <w:vAlign w:val="center"/>
          </w:tcPr>
          <w:p w14:paraId="128E1F49">
            <w:pPr>
              <w:pStyle w:val="4"/>
              <w:jc w:val="center"/>
            </w:pPr>
          </w:p>
        </w:tc>
        <w:tc>
          <w:tcPr>
            <w:tcW w:w="995" w:type="dxa"/>
            <w:vAlign w:val="center"/>
          </w:tcPr>
          <w:p w14:paraId="50D6515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42BE9F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5FCBF0C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1E088D6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233A4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restart"/>
            <w:tcBorders>
              <w:left w:val="single" w:color="000000" w:sz="6" w:space="0"/>
            </w:tcBorders>
            <w:vAlign w:val="center"/>
          </w:tcPr>
          <w:p w14:paraId="6003182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9.2</w:t>
            </w:r>
          </w:p>
        </w:tc>
        <w:tc>
          <w:tcPr>
            <w:tcW w:w="1328" w:type="dxa"/>
            <w:gridSpan w:val="3"/>
            <w:vMerge w:val="restart"/>
            <w:vAlign w:val="center"/>
          </w:tcPr>
          <w:p w14:paraId="71696FD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补偿链(缆)及导向装置</w:t>
            </w:r>
          </w:p>
        </w:tc>
        <w:tc>
          <w:tcPr>
            <w:tcW w:w="4478" w:type="dxa"/>
            <w:vMerge w:val="restart"/>
            <w:vAlign w:val="center"/>
          </w:tcPr>
          <w:p w14:paraId="1189F52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补偿链(缆)及导向装置不应出现下列情况之一：</w:t>
            </w:r>
          </w:p>
          <w:p w14:paraId="08B2F09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a)全包覆型补偿链(缆)表面包裹材料出现脱落、严重开裂或磨损</w:t>
            </w:r>
          </w:p>
          <w:p w14:paraId="1F3A562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b)补偿链(缆)导向装置滚轮变形、缺损、严重磨损或出现卡阻</w:t>
            </w:r>
          </w:p>
          <w:p w14:paraId="68725D0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c)链环表面有严重的锈蚀或脱焊，存在破断风险</w:t>
            </w:r>
          </w:p>
        </w:tc>
        <w:tc>
          <w:tcPr>
            <w:tcW w:w="995" w:type="dxa"/>
            <w:vAlign w:val="center"/>
          </w:tcPr>
          <w:p w14:paraId="0429D09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AA4883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07B0616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A63C39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A44F2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continue"/>
            <w:tcBorders>
              <w:left w:val="single" w:color="000000" w:sz="6" w:space="0"/>
            </w:tcBorders>
            <w:vAlign w:val="center"/>
          </w:tcPr>
          <w:p w14:paraId="10D7E27F">
            <w:pPr>
              <w:pStyle w:val="4"/>
              <w:jc w:val="center"/>
            </w:pPr>
          </w:p>
        </w:tc>
        <w:tc>
          <w:tcPr>
            <w:tcW w:w="1328" w:type="dxa"/>
            <w:gridSpan w:val="3"/>
            <w:vMerge w:val="continue"/>
            <w:vAlign w:val="center"/>
          </w:tcPr>
          <w:p w14:paraId="59B04900">
            <w:pPr>
              <w:pStyle w:val="4"/>
              <w:jc w:val="center"/>
            </w:pPr>
          </w:p>
        </w:tc>
        <w:tc>
          <w:tcPr>
            <w:tcW w:w="4478" w:type="dxa"/>
            <w:vMerge w:val="continue"/>
            <w:vAlign w:val="center"/>
          </w:tcPr>
          <w:p w14:paraId="7B20FF6B">
            <w:pPr>
              <w:pStyle w:val="4"/>
              <w:jc w:val="center"/>
            </w:pPr>
          </w:p>
        </w:tc>
        <w:tc>
          <w:tcPr>
            <w:tcW w:w="995" w:type="dxa"/>
            <w:vAlign w:val="center"/>
          </w:tcPr>
          <w:p w14:paraId="2E5B04A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6BFA6F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063F303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0BA064D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3BEF1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jc w:val="center"/>
        </w:trPr>
        <w:tc>
          <w:tcPr>
            <w:tcW w:w="544" w:type="dxa"/>
            <w:vMerge w:val="restart"/>
            <w:tcBorders>
              <w:left w:val="single" w:color="000000" w:sz="6" w:space="0"/>
            </w:tcBorders>
            <w:vAlign w:val="center"/>
          </w:tcPr>
          <w:p w14:paraId="3CF45DA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9.6</w:t>
            </w:r>
          </w:p>
        </w:tc>
        <w:tc>
          <w:tcPr>
            <w:tcW w:w="1328" w:type="dxa"/>
            <w:gridSpan w:val="3"/>
            <w:vMerge w:val="restart"/>
            <w:vAlign w:val="center"/>
          </w:tcPr>
          <w:p w14:paraId="364B779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层门地坎下的井道壁凸出物</w:t>
            </w:r>
          </w:p>
        </w:tc>
        <w:tc>
          <w:tcPr>
            <w:tcW w:w="4478" w:type="dxa"/>
            <w:vMerge w:val="restart"/>
            <w:vAlign w:val="center"/>
          </w:tcPr>
          <w:p w14:paraId="6F011EF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每个层门地坎下的井道壁的任何凸出物不应超过 5mm，超过2mm的凸出物应倒角，倒角与水平的夹角至少为75°</w:t>
            </w:r>
          </w:p>
        </w:tc>
        <w:tc>
          <w:tcPr>
            <w:tcW w:w="995" w:type="dxa"/>
            <w:vAlign w:val="center"/>
          </w:tcPr>
          <w:p w14:paraId="6BCBFD9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1747809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3A8EB23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3C7EA31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B3913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2" w:hRule="atLeast"/>
          <w:jc w:val="center"/>
        </w:trPr>
        <w:tc>
          <w:tcPr>
            <w:tcW w:w="544" w:type="dxa"/>
            <w:vMerge w:val="continue"/>
            <w:tcBorders>
              <w:left w:val="single" w:color="000000" w:sz="6" w:space="0"/>
            </w:tcBorders>
            <w:vAlign w:val="center"/>
          </w:tcPr>
          <w:p w14:paraId="66B03DDC">
            <w:pPr>
              <w:pStyle w:val="4"/>
              <w:jc w:val="center"/>
            </w:pPr>
          </w:p>
        </w:tc>
        <w:tc>
          <w:tcPr>
            <w:tcW w:w="1328" w:type="dxa"/>
            <w:gridSpan w:val="3"/>
            <w:vMerge w:val="continue"/>
            <w:vAlign w:val="center"/>
          </w:tcPr>
          <w:p w14:paraId="4B7F3AB8">
            <w:pPr>
              <w:pStyle w:val="4"/>
              <w:jc w:val="center"/>
            </w:pPr>
          </w:p>
        </w:tc>
        <w:tc>
          <w:tcPr>
            <w:tcW w:w="4478" w:type="dxa"/>
            <w:vMerge w:val="continue"/>
            <w:vAlign w:val="center"/>
          </w:tcPr>
          <w:p w14:paraId="7C1C3B0B">
            <w:pPr>
              <w:pStyle w:val="4"/>
              <w:jc w:val="center"/>
            </w:pPr>
          </w:p>
        </w:tc>
        <w:tc>
          <w:tcPr>
            <w:tcW w:w="995" w:type="dxa"/>
            <w:vAlign w:val="center"/>
          </w:tcPr>
          <w:p w14:paraId="22F29A8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16523AF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0676A17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68E7EC0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62D082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8" w:hRule="atLeast"/>
          <w:jc w:val="center"/>
        </w:trPr>
        <w:tc>
          <w:tcPr>
            <w:tcW w:w="544" w:type="dxa"/>
            <w:vMerge w:val="restart"/>
            <w:tcBorders>
              <w:left w:val="single" w:color="000000" w:sz="6" w:space="0"/>
            </w:tcBorders>
            <w:vAlign w:val="center"/>
          </w:tcPr>
          <w:p w14:paraId="06A942E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9.8</w:t>
            </w:r>
          </w:p>
        </w:tc>
        <w:tc>
          <w:tcPr>
            <w:tcW w:w="1328" w:type="dxa"/>
            <w:gridSpan w:val="3"/>
            <w:vMerge w:val="restart"/>
            <w:vAlign w:val="center"/>
          </w:tcPr>
          <w:p w14:paraId="6F50E6E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平层感应装置</w:t>
            </w:r>
          </w:p>
        </w:tc>
        <w:tc>
          <w:tcPr>
            <w:tcW w:w="4478" w:type="dxa"/>
            <w:vMerge w:val="restart"/>
            <w:vAlign w:val="center"/>
          </w:tcPr>
          <w:p w14:paraId="77E9340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电梯平层感应装置功能应工作可靠。平层准确度 宜在±10mm的范围内，平层保持精度宜在±20mm的范围内</w:t>
            </w:r>
          </w:p>
        </w:tc>
        <w:tc>
          <w:tcPr>
            <w:tcW w:w="995" w:type="dxa"/>
            <w:vAlign w:val="center"/>
          </w:tcPr>
          <w:p w14:paraId="5C40AFB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F2B924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4032FC7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275FA4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DCEDC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jc w:val="center"/>
        </w:trPr>
        <w:tc>
          <w:tcPr>
            <w:tcW w:w="544" w:type="dxa"/>
            <w:vMerge w:val="continue"/>
            <w:tcBorders>
              <w:left w:val="single" w:color="000000" w:sz="6" w:space="0"/>
            </w:tcBorders>
            <w:vAlign w:val="center"/>
          </w:tcPr>
          <w:p w14:paraId="146C3428">
            <w:pPr>
              <w:pStyle w:val="4"/>
              <w:jc w:val="center"/>
            </w:pPr>
          </w:p>
        </w:tc>
        <w:tc>
          <w:tcPr>
            <w:tcW w:w="1328" w:type="dxa"/>
            <w:gridSpan w:val="3"/>
            <w:vMerge w:val="continue"/>
            <w:vAlign w:val="center"/>
          </w:tcPr>
          <w:p w14:paraId="40CD44F2">
            <w:pPr>
              <w:pStyle w:val="4"/>
              <w:jc w:val="center"/>
            </w:pPr>
          </w:p>
        </w:tc>
        <w:tc>
          <w:tcPr>
            <w:tcW w:w="4478" w:type="dxa"/>
            <w:vMerge w:val="continue"/>
            <w:vAlign w:val="center"/>
          </w:tcPr>
          <w:p w14:paraId="2C4FCF16">
            <w:pPr>
              <w:pStyle w:val="4"/>
              <w:jc w:val="center"/>
            </w:pPr>
          </w:p>
        </w:tc>
        <w:tc>
          <w:tcPr>
            <w:tcW w:w="995" w:type="dxa"/>
            <w:vAlign w:val="center"/>
          </w:tcPr>
          <w:p w14:paraId="76B9913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DED501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37D0F39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18959D8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01A4E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544" w:type="dxa"/>
            <w:vMerge w:val="restart"/>
            <w:tcBorders>
              <w:left w:val="single" w:color="000000" w:sz="6" w:space="0"/>
            </w:tcBorders>
            <w:vAlign w:val="center"/>
          </w:tcPr>
          <w:p w14:paraId="6362AB6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9.12</w:t>
            </w:r>
          </w:p>
        </w:tc>
        <w:tc>
          <w:tcPr>
            <w:tcW w:w="1328" w:type="dxa"/>
            <w:gridSpan w:val="3"/>
            <w:vMerge w:val="restart"/>
            <w:vAlign w:val="center"/>
          </w:tcPr>
          <w:p w14:paraId="61D2556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旋转部件防护</w:t>
            </w:r>
          </w:p>
        </w:tc>
        <w:tc>
          <w:tcPr>
            <w:tcW w:w="4478" w:type="dxa"/>
            <w:vMerge w:val="restart"/>
            <w:vAlign w:val="center"/>
          </w:tcPr>
          <w:p w14:paraId="353A3A7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对可能产生危险并可能接近的旋转部件，应提供 有效的防护</w:t>
            </w:r>
          </w:p>
        </w:tc>
        <w:tc>
          <w:tcPr>
            <w:tcW w:w="995" w:type="dxa"/>
            <w:vAlign w:val="center"/>
          </w:tcPr>
          <w:p w14:paraId="0C78A2C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F0CA59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1EC24E1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98F417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AC489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8" w:hRule="atLeast"/>
          <w:jc w:val="center"/>
        </w:trPr>
        <w:tc>
          <w:tcPr>
            <w:tcW w:w="544" w:type="dxa"/>
            <w:vMerge w:val="continue"/>
            <w:tcBorders>
              <w:left w:val="single" w:color="000000" w:sz="6" w:space="0"/>
            </w:tcBorders>
            <w:vAlign w:val="center"/>
          </w:tcPr>
          <w:p w14:paraId="79ED3E4A">
            <w:pPr>
              <w:pStyle w:val="4"/>
              <w:jc w:val="center"/>
            </w:pPr>
          </w:p>
        </w:tc>
        <w:tc>
          <w:tcPr>
            <w:tcW w:w="1328" w:type="dxa"/>
            <w:gridSpan w:val="3"/>
            <w:vMerge w:val="continue"/>
            <w:vAlign w:val="center"/>
          </w:tcPr>
          <w:p w14:paraId="70D0DA56">
            <w:pPr>
              <w:pStyle w:val="4"/>
              <w:jc w:val="center"/>
            </w:pPr>
          </w:p>
        </w:tc>
        <w:tc>
          <w:tcPr>
            <w:tcW w:w="4478" w:type="dxa"/>
            <w:vMerge w:val="continue"/>
            <w:vAlign w:val="center"/>
          </w:tcPr>
          <w:p w14:paraId="2D5627BD">
            <w:pPr>
              <w:pStyle w:val="4"/>
              <w:jc w:val="center"/>
            </w:pPr>
          </w:p>
        </w:tc>
        <w:tc>
          <w:tcPr>
            <w:tcW w:w="995" w:type="dxa"/>
            <w:vAlign w:val="center"/>
          </w:tcPr>
          <w:p w14:paraId="6B8DBF6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81AA88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3A6131D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241B597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5E74A6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8" w:hRule="atLeast"/>
          <w:jc w:val="center"/>
        </w:trPr>
        <w:tc>
          <w:tcPr>
            <w:tcW w:w="544" w:type="dxa"/>
            <w:vMerge w:val="restart"/>
            <w:tcBorders>
              <w:left w:val="single" w:color="000000" w:sz="6" w:space="0"/>
            </w:tcBorders>
            <w:vAlign w:val="center"/>
          </w:tcPr>
          <w:p w14:paraId="58F7316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10.2</w:t>
            </w:r>
          </w:p>
        </w:tc>
        <w:tc>
          <w:tcPr>
            <w:tcW w:w="1328" w:type="dxa"/>
            <w:gridSpan w:val="3"/>
            <w:vMerge w:val="restart"/>
            <w:vAlign w:val="center"/>
          </w:tcPr>
          <w:p w14:paraId="6F59AA5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对重架</w:t>
            </w:r>
          </w:p>
        </w:tc>
        <w:tc>
          <w:tcPr>
            <w:tcW w:w="4478" w:type="dxa"/>
            <w:vMerge w:val="restart"/>
            <w:vAlign w:val="center"/>
          </w:tcPr>
          <w:p w14:paraId="77A8BE6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对重架不应出现下列情况之一：</w:t>
            </w:r>
          </w:p>
          <w:p w14:paraId="4756A769">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a)严重变形，导致导靴或对重安全钳不能正常工作</w:t>
            </w:r>
          </w:p>
          <w:p w14:paraId="55C8C60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b)直梁、底部横梁发生变形，不能保证对重块在对重架内的可靠固定</w:t>
            </w:r>
          </w:p>
          <w:p w14:paraId="7F41B30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c)严重腐蚀，主要受力构件断面壁厚腐蚀达设计 厚度的10%</w:t>
            </w:r>
          </w:p>
        </w:tc>
        <w:tc>
          <w:tcPr>
            <w:tcW w:w="995" w:type="dxa"/>
            <w:vAlign w:val="center"/>
          </w:tcPr>
          <w:p w14:paraId="5EA1B50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FD2AF6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564C1DA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533DA08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7C2AF4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7" w:hRule="atLeast"/>
          <w:jc w:val="center"/>
        </w:trPr>
        <w:tc>
          <w:tcPr>
            <w:tcW w:w="544" w:type="dxa"/>
            <w:vMerge w:val="continue"/>
            <w:tcBorders>
              <w:left w:val="single" w:color="000000" w:sz="6" w:space="0"/>
            </w:tcBorders>
            <w:vAlign w:val="center"/>
          </w:tcPr>
          <w:p w14:paraId="0C406A4E">
            <w:pPr>
              <w:pStyle w:val="4"/>
              <w:jc w:val="center"/>
            </w:pPr>
          </w:p>
        </w:tc>
        <w:tc>
          <w:tcPr>
            <w:tcW w:w="1328" w:type="dxa"/>
            <w:gridSpan w:val="3"/>
            <w:vMerge w:val="continue"/>
            <w:vAlign w:val="center"/>
          </w:tcPr>
          <w:p w14:paraId="0D418CA8">
            <w:pPr>
              <w:pStyle w:val="4"/>
              <w:jc w:val="center"/>
            </w:pPr>
          </w:p>
        </w:tc>
        <w:tc>
          <w:tcPr>
            <w:tcW w:w="4478" w:type="dxa"/>
            <w:vMerge w:val="continue"/>
            <w:vAlign w:val="center"/>
          </w:tcPr>
          <w:p w14:paraId="162EFF6E">
            <w:pPr>
              <w:pStyle w:val="4"/>
              <w:jc w:val="center"/>
            </w:pPr>
          </w:p>
        </w:tc>
        <w:tc>
          <w:tcPr>
            <w:tcW w:w="995" w:type="dxa"/>
            <w:vAlign w:val="center"/>
          </w:tcPr>
          <w:p w14:paraId="4E3E46D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31398F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5EAFFA6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1F10563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33D17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6" w:hRule="atLeast"/>
          <w:jc w:val="center"/>
        </w:trPr>
        <w:tc>
          <w:tcPr>
            <w:tcW w:w="544" w:type="dxa"/>
            <w:vMerge w:val="restart"/>
            <w:tcBorders>
              <w:left w:val="single" w:color="000000" w:sz="6" w:space="0"/>
            </w:tcBorders>
            <w:vAlign w:val="center"/>
          </w:tcPr>
          <w:p w14:paraId="2823349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10.3</w:t>
            </w:r>
          </w:p>
        </w:tc>
        <w:tc>
          <w:tcPr>
            <w:tcW w:w="1328" w:type="dxa"/>
            <w:gridSpan w:val="3"/>
            <w:vMerge w:val="restart"/>
            <w:vAlign w:val="center"/>
          </w:tcPr>
          <w:p w14:paraId="1C8CF4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对重(平衡重)块</w:t>
            </w:r>
          </w:p>
        </w:tc>
        <w:tc>
          <w:tcPr>
            <w:tcW w:w="4478" w:type="dxa"/>
            <w:vMerge w:val="restart"/>
            <w:vAlign w:val="center"/>
          </w:tcPr>
          <w:p w14:paraId="3F4592C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对重(平衡重)块不应出现下列情况之一：</w:t>
            </w:r>
          </w:p>
          <w:p w14:paraId="26BDD0A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a)开裂、严重变形或断裂</w:t>
            </w:r>
          </w:p>
          <w:p w14:paraId="1DE204A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b)外包材料出现破损且内部材质可能向外泄露</w:t>
            </w:r>
          </w:p>
          <w:p w14:paraId="63F42D7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c)固定不可靠</w:t>
            </w:r>
          </w:p>
        </w:tc>
        <w:tc>
          <w:tcPr>
            <w:tcW w:w="995" w:type="dxa"/>
            <w:vAlign w:val="center"/>
          </w:tcPr>
          <w:p w14:paraId="5C3FF21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2DF3F1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1C24D9F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6F5A97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70A45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7" w:hRule="atLeast"/>
          <w:jc w:val="center"/>
        </w:trPr>
        <w:tc>
          <w:tcPr>
            <w:tcW w:w="544" w:type="dxa"/>
            <w:vMerge w:val="continue"/>
            <w:tcBorders>
              <w:left w:val="single" w:color="000000" w:sz="6" w:space="0"/>
            </w:tcBorders>
            <w:vAlign w:val="center"/>
          </w:tcPr>
          <w:p w14:paraId="059573BA">
            <w:pPr>
              <w:pStyle w:val="4"/>
              <w:jc w:val="center"/>
            </w:pPr>
          </w:p>
        </w:tc>
        <w:tc>
          <w:tcPr>
            <w:tcW w:w="1328" w:type="dxa"/>
            <w:gridSpan w:val="3"/>
            <w:vMerge w:val="continue"/>
            <w:vAlign w:val="center"/>
          </w:tcPr>
          <w:p w14:paraId="22D49A65">
            <w:pPr>
              <w:pStyle w:val="4"/>
              <w:jc w:val="center"/>
            </w:pPr>
          </w:p>
        </w:tc>
        <w:tc>
          <w:tcPr>
            <w:tcW w:w="4478" w:type="dxa"/>
            <w:vMerge w:val="continue"/>
            <w:vAlign w:val="center"/>
          </w:tcPr>
          <w:p w14:paraId="44C7118C">
            <w:pPr>
              <w:pStyle w:val="4"/>
              <w:jc w:val="center"/>
            </w:pPr>
          </w:p>
        </w:tc>
        <w:tc>
          <w:tcPr>
            <w:tcW w:w="995" w:type="dxa"/>
            <w:vAlign w:val="center"/>
          </w:tcPr>
          <w:p w14:paraId="285B244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0F4B727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6B7D8DE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597524C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16FF9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1" w:hRule="atLeast"/>
          <w:jc w:val="center"/>
        </w:trPr>
        <w:tc>
          <w:tcPr>
            <w:tcW w:w="544" w:type="dxa"/>
            <w:vMerge w:val="restart"/>
            <w:tcBorders>
              <w:left w:val="single" w:color="000000" w:sz="6" w:space="0"/>
            </w:tcBorders>
            <w:vAlign w:val="center"/>
          </w:tcPr>
          <w:p w14:paraId="7C8D4D1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10.5</w:t>
            </w:r>
          </w:p>
        </w:tc>
        <w:tc>
          <w:tcPr>
            <w:tcW w:w="1328" w:type="dxa"/>
            <w:gridSpan w:val="3"/>
            <w:vMerge w:val="restart"/>
            <w:vAlign w:val="center"/>
          </w:tcPr>
          <w:p w14:paraId="3FECE5E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对重导靴</w:t>
            </w:r>
          </w:p>
        </w:tc>
        <w:tc>
          <w:tcPr>
            <w:tcW w:w="4478" w:type="dxa"/>
            <w:vMerge w:val="restart"/>
            <w:vAlign w:val="center"/>
          </w:tcPr>
          <w:p w14:paraId="27DBDFD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对重导靴应保持清洁，不应出现变形、开裂、严重磨损</w:t>
            </w:r>
          </w:p>
        </w:tc>
        <w:tc>
          <w:tcPr>
            <w:tcW w:w="995" w:type="dxa"/>
            <w:vAlign w:val="center"/>
          </w:tcPr>
          <w:p w14:paraId="5907B60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13688F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44CB968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38EC52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74D96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0" w:hRule="atLeast"/>
          <w:jc w:val="center"/>
        </w:trPr>
        <w:tc>
          <w:tcPr>
            <w:tcW w:w="544" w:type="dxa"/>
            <w:vMerge w:val="continue"/>
            <w:tcBorders>
              <w:left w:val="single" w:color="000000" w:sz="6" w:space="0"/>
            </w:tcBorders>
            <w:vAlign w:val="center"/>
          </w:tcPr>
          <w:p w14:paraId="097A72A5">
            <w:pPr>
              <w:pStyle w:val="4"/>
              <w:jc w:val="center"/>
            </w:pPr>
          </w:p>
        </w:tc>
        <w:tc>
          <w:tcPr>
            <w:tcW w:w="1328" w:type="dxa"/>
            <w:gridSpan w:val="3"/>
            <w:vMerge w:val="continue"/>
            <w:vAlign w:val="center"/>
          </w:tcPr>
          <w:p w14:paraId="2BBDB812">
            <w:pPr>
              <w:pStyle w:val="4"/>
              <w:jc w:val="center"/>
            </w:pPr>
          </w:p>
        </w:tc>
        <w:tc>
          <w:tcPr>
            <w:tcW w:w="4478" w:type="dxa"/>
            <w:vMerge w:val="continue"/>
            <w:vAlign w:val="center"/>
          </w:tcPr>
          <w:p w14:paraId="17514C94">
            <w:pPr>
              <w:pStyle w:val="4"/>
              <w:jc w:val="center"/>
            </w:pPr>
          </w:p>
        </w:tc>
        <w:tc>
          <w:tcPr>
            <w:tcW w:w="995" w:type="dxa"/>
            <w:vAlign w:val="center"/>
          </w:tcPr>
          <w:p w14:paraId="2B3783A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53C84F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3E61EF8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434B302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34311F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3" w:hRule="atLeast"/>
          <w:jc w:val="center"/>
        </w:trPr>
        <w:tc>
          <w:tcPr>
            <w:tcW w:w="544" w:type="dxa"/>
            <w:vMerge w:val="restart"/>
            <w:tcBorders>
              <w:left w:val="single" w:color="000000" w:sz="6" w:space="0"/>
            </w:tcBorders>
            <w:vAlign w:val="center"/>
          </w:tcPr>
          <w:p w14:paraId="2F5353B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11.1</w:t>
            </w:r>
          </w:p>
        </w:tc>
        <w:tc>
          <w:tcPr>
            <w:tcW w:w="1328" w:type="dxa"/>
            <w:gridSpan w:val="3"/>
            <w:vMerge w:val="restart"/>
            <w:vAlign w:val="center"/>
          </w:tcPr>
          <w:p w14:paraId="5A3F894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导轨固定情况</w:t>
            </w:r>
          </w:p>
        </w:tc>
        <w:tc>
          <w:tcPr>
            <w:tcW w:w="4478" w:type="dxa"/>
            <w:vMerge w:val="restart"/>
            <w:vAlign w:val="center"/>
          </w:tcPr>
          <w:p w14:paraId="29B33EE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a)导轨和导轨支架在建筑物上的固定，应能自动地或者采用简单的调节方法，对因建筑物的正常沉降和混凝土的收缩予以补偿，应防止因导轨附件的转动造成导轨的松动</w:t>
            </w:r>
          </w:p>
          <w:p w14:paraId="2F10795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b)导轨与导轨支架之间应用压板固定</w:t>
            </w:r>
          </w:p>
        </w:tc>
        <w:tc>
          <w:tcPr>
            <w:tcW w:w="995" w:type="dxa"/>
            <w:vAlign w:val="center"/>
          </w:tcPr>
          <w:p w14:paraId="775E42C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322BAE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53128B9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4CB66C1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1D613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2" w:hRule="atLeast"/>
          <w:jc w:val="center"/>
        </w:trPr>
        <w:tc>
          <w:tcPr>
            <w:tcW w:w="544" w:type="dxa"/>
            <w:vMerge w:val="continue"/>
            <w:tcBorders>
              <w:left w:val="single" w:color="000000" w:sz="6" w:space="0"/>
            </w:tcBorders>
            <w:vAlign w:val="center"/>
          </w:tcPr>
          <w:p w14:paraId="0C6F5856">
            <w:pPr>
              <w:pStyle w:val="4"/>
              <w:jc w:val="center"/>
            </w:pPr>
          </w:p>
        </w:tc>
        <w:tc>
          <w:tcPr>
            <w:tcW w:w="1328" w:type="dxa"/>
            <w:gridSpan w:val="3"/>
            <w:vMerge w:val="continue"/>
            <w:vAlign w:val="center"/>
          </w:tcPr>
          <w:p w14:paraId="3707C2D9">
            <w:pPr>
              <w:pStyle w:val="4"/>
              <w:jc w:val="center"/>
            </w:pPr>
          </w:p>
        </w:tc>
        <w:tc>
          <w:tcPr>
            <w:tcW w:w="4478" w:type="dxa"/>
            <w:vMerge w:val="continue"/>
            <w:vAlign w:val="center"/>
          </w:tcPr>
          <w:p w14:paraId="344CC967">
            <w:pPr>
              <w:pStyle w:val="4"/>
              <w:jc w:val="center"/>
            </w:pPr>
          </w:p>
        </w:tc>
        <w:tc>
          <w:tcPr>
            <w:tcW w:w="995" w:type="dxa"/>
            <w:vAlign w:val="center"/>
          </w:tcPr>
          <w:p w14:paraId="4EB9862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645B613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216E14A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7440AF2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461590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49" w:hRule="atLeast"/>
          <w:jc w:val="center"/>
        </w:trPr>
        <w:tc>
          <w:tcPr>
            <w:tcW w:w="544" w:type="dxa"/>
            <w:vMerge w:val="restart"/>
            <w:tcBorders>
              <w:left w:val="single" w:color="000000" w:sz="6" w:space="0"/>
            </w:tcBorders>
            <w:vAlign w:val="center"/>
          </w:tcPr>
          <w:p w14:paraId="684B429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11.4</w:t>
            </w:r>
          </w:p>
        </w:tc>
        <w:tc>
          <w:tcPr>
            <w:tcW w:w="1328" w:type="dxa"/>
            <w:gridSpan w:val="3"/>
            <w:vMerge w:val="restart"/>
            <w:vAlign w:val="center"/>
          </w:tcPr>
          <w:p w14:paraId="7925E08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导轨表面</w:t>
            </w:r>
          </w:p>
        </w:tc>
        <w:tc>
          <w:tcPr>
            <w:tcW w:w="4478" w:type="dxa"/>
            <w:vMerge w:val="restart"/>
            <w:vAlign w:val="center"/>
          </w:tcPr>
          <w:p w14:paraId="7DC79DC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导轨表面质量的变化不应影响电梯的安全运行(包括不应出现强度的下降及导致安全钳的制动性能的下降)：</w:t>
            </w:r>
          </w:p>
          <w:p w14:paraId="7D17CE8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a)T型导轨工作面不应出现影响电梯正常运行的严重损伤，空心导轨防腐保护层不应出现起皮、起瘤或脱落</w:t>
            </w:r>
          </w:p>
          <w:p w14:paraId="02512FB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b)导轨不应出现严重锈蚀现象</w:t>
            </w:r>
          </w:p>
          <w:p w14:paraId="0B17157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c)导轨不应出现严重磨损</w:t>
            </w:r>
          </w:p>
        </w:tc>
        <w:tc>
          <w:tcPr>
            <w:tcW w:w="995" w:type="dxa"/>
            <w:vAlign w:val="center"/>
          </w:tcPr>
          <w:p w14:paraId="5872899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7D2D55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487DAD7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673AA93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C5E79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31" w:hRule="atLeast"/>
          <w:jc w:val="center"/>
        </w:trPr>
        <w:tc>
          <w:tcPr>
            <w:tcW w:w="544" w:type="dxa"/>
            <w:vMerge w:val="continue"/>
            <w:tcBorders>
              <w:left w:val="single" w:color="000000" w:sz="6" w:space="0"/>
            </w:tcBorders>
            <w:vAlign w:val="center"/>
          </w:tcPr>
          <w:p w14:paraId="7A4E4962">
            <w:pPr>
              <w:pStyle w:val="4"/>
              <w:jc w:val="center"/>
            </w:pPr>
          </w:p>
        </w:tc>
        <w:tc>
          <w:tcPr>
            <w:tcW w:w="1328" w:type="dxa"/>
            <w:gridSpan w:val="3"/>
            <w:vMerge w:val="continue"/>
            <w:vAlign w:val="center"/>
          </w:tcPr>
          <w:p w14:paraId="6DE4013C">
            <w:pPr>
              <w:pStyle w:val="4"/>
              <w:jc w:val="center"/>
            </w:pPr>
          </w:p>
        </w:tc>
        <w:tc>
          <w:tcPr>
            <w:tcW w:w="4478" w:type="dxa"/>
            <w:vMerge w:val="continue"/>
            <w:vAlign w:val="center"/>
          </w:tcPr>
          <w:p w14:paraId="532B2004">
            <w:pPr>
              <w:pStyle w:val="4"/>
              <w:jc w:val="center"/>
            </w:pPr>
          </w:p>
        </w:tc>
        <w:tc>
          <w:tcPr>
            <w:tcW w:w="995" w:type="dxa"/>
            <w:vAlign w:val="center"/>
          </w:tcPr>
          <w:p w14:paraId="675C0BB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0BAC9BB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72D7250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5A6D4D9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15615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2" w:hRule="atLeast"/>
          <w:jc w:val="center"/>
        </w:trPr>
        <w:tc>
          <w:tcPr>
            <w:tcW w:w="544" w:type="dxa"/>
            <w:vMerge w:val="restart"/>
            <w:tcBorders>
              <w:left w:val="single" w:color="000000" w:sz="6" w:space="0"/>
            </w:tcBorders>
            <w:vAlign w:val="center"/>
          </w:tcPr>
          <w:p w14:paraId="7971969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12.1</w:t>
            </w:r>
          </w:p>
        </w:tc>
        <w:tc>
          <w:tcPr>
            <w:tcW w:w="438" w:type="dxa"/>
            <w:vMerge w:val="restart"/>
            <w:tcBorders>
              <w:right w:val="single" w:color="auto" w:sz="4" w:space="0"/>
            </w:tcBorders>
            <w:vAlign w:val="center"/>
          </w:tcPr>
          <w:p w14:paraId="7CAD30F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钢  丝  绳</w:t>
            </w:r>
          </w:p>
        </w:tc>
        <w:tc>
          <w:tcPr>
            <w:tcW w:w="890" w:type="dxa"/>
            <w:gridSpan w:val="2"/>
            <w:vMerge w:val="restart"/>
            <w:tcBorders>
              <w:left w:val="single" w:color="auto" w:sz="4" w:space="0"/>
            </w:tcBorders>
            <w:vAlign w:val="center"/>
          </w:tcPr>
          <w:p w14:paraId="643AA09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绳径减小</w:t>
            </w:r>
          </w:p>
        </w:tc>
        <w:tc>
          <w:tcPr>
            <w:tcW w:w="4478" w:type="dxa"/>
            <w:vMerge w:val="restart"/>
            <w:vAlign w:val="center"/>
          </w:tcPr>
          <w:p w14:paraId="7DE7E3D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直径不应小于或等于其公称直径的90%</w:t>
            </w:r>
          </w:p>
        </w:tc>
        <w:tc>
          <w:tcPr>
            <w:tcW w:w="995" w:type="dxa"/>
            <w:vAlign w:val="center"/>
          </w:tcPr>
          <w:p w14:paraId="791B273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B7BF2A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3CDEBD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44A84A0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6FDEB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544" w:type="dxa"/>
            <w:vMerge w:val="continue"/>
            <w:tcBorders>
              <w:left w:val="single" w:color="000000" w:sz="6" w:space="0"/>
            </w:tcBorders>
            <w:vAlign w:val="center"/>
          </w:tcPr>
          <w:p w14:paraId="74D05627">
            <w:pPr>
              <w:pStyle w:val="4"/>
              <w:jc w:val="center"/>
            </w:pPr>
          </w:p>
        </w:tc>
        <w:tc>
          <w:tcPr>
            <w:tcW w:w="438" w:type="dxa"/>
            <w:vMerge w:val="continue"/>
            <w:tcBorders>
              <w:right w:val="single" w:color="auto" w:sz="4" w:space="0"/>
            </w:tcBorders>
            <w:vAlign w:val="center"/>
          </w:tcPr>
          <w:p w14:paraId="0C98F8F3">
            <w:pPr>
              <w:pStyle w:val="4"/>
              <w:jc w:val="center"/>
            </w:pPr>
          </w:p>
        </w:tc>
        <w:tc>
          <w:tcPr>
            <w:tcW w:w="890" w:type="dxa"/>
            <w:gridSpan w:val="2"/>
            <w:vMerge w:val="continue"/>
            <w:tcBorders>
              <w:left w:val="single" w:color="auto" w:sz="4" w:space="0"/>
            </w:tcBorders>
            <w:vAlign w:val="center"/>
          </w:tcPr>
          <w:p w14:paraId="70A8F661">
            <w:pPr>
              <w:pStyle w:val="4"/>
              <w:jc w:val="center"/>
            </w:pPr>
          </w:p>
        </w:tc>
        <w:tc>
          <w:tcPr>
            <w:tcW w:w="4478" w:type="dxa"/>
            <w:vMerge w:val="continue"/>
            <w:vAlign w:val="center"/>
          </w:tcPr>
          <w:p w14:paraId="5575A11D">
            <w:pPr>
              <w:pStyle w:val="4"/>
              <w:jc w:val="center"/>
            </w:pPr>
          </w:p>
        </w:tc>
        <w:tc>
          <w:tcPr>
            <w:tcW w:w="995" w:type="dxa"/>
            <w:vAlign w:val="center"/>
          </w:tcPr>
          <w:p w14:paraId="5F472B9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E641FA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65D41F8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7AEB639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783998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6" w:hRule="atLeast"/>
          <w:jc w:val="center"/>
        </w:trPr>
        <w:tc>
          <w:tcPr>
            <w:tcW w:w="544" w:type="dxa"/>
            <w:vMerge w:val="restart"/>
            <w:tcBorders>
              <w:left w:val="single" w:color="000000" w:sz="6" w:space="0"/>
            </w:tcBorders>
            <w:vAlign w:val="center"/>
          </w:tcPr>
          <w:p w14:paraId="272D0AD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12.2</w:t>
            </w:r>
          </w:p>
        </w:tc>
        <w:tc>
          <w:tcPr>
            <w:tcW w:w="438" w:type="dxa"/>
            <w:vMerge w:val="continue"/>
            <w:tcBorders>
              <w:right w:val="single" w:color="auto" w:sz="4" w:space="0"/>
            </w:tcBorders>
            <w:vAlign w:val="center"/>
          </w:tcPr>
          <w:p w14:paraId="7AE33A98">
            <w:pPr>
              <w:pStyle w:val="4"/>
              <w:rPr>
                <w:rFonts w:ascii="仿宋_GB2312" w:hAnsi="仿宋_GB2312" w:eastAsia="仿宋_GB2312" w:cs="仿宋_GB2312"/>
                <w:sz w:val="21"/>
                <w:szCs w:val="21"/>
                <w:lang w:eastAsia="zh-CN"/>
              </w:rPr>
            </w:pPr>
          </w:p>
        </w:tc>
        <w:tc>
          <w:tcPr>
            <w:tcW w:w="890" w:type="dxa"/>
            <w:gridSpan w:val="2"/>
            <w:vMerge w:val="restart"/>
            <w:tcBorders>
              <w:left w:val="single" w:color="auto" w:sz="4" w:space="0"/>
            </w:tcBorders>
            <w:vAlign w:val="center"/>
          </w:tcPr>
          <w:p w14:paraId="7D83FFC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变形或损伤</w:t>
            </w:r>
          </w:p>
        </w:tc>
        <w:tc>
          <w:tcPr>
            <w:tcW w:w="4478" w:type="dxa"/>
            <w:vMerge w:val="restart"/>
            <w:vAlign w:val="center"/>
          </w:tcPr>
          <w:p w14:paraId="1B996A7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不应出现笼状畸变、绳股挤出、扭结、部分压扁或弯折</w:t>
            </w:r>
          </w:p>
        </w:tc>
        <w:tc>
          <w:tcPr>
            <w:tcW w:w="995" w:type="dxa"/>
            <w:vAlign w:val="center"/>
          </w:tcPr>
          <w:p w14:paraId="66EE929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4665703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F53D0E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2F4941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224A23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jc w:val="center"/>
        </w:trPr>
        <w:tc>
          <w:tcPr>
            <w:tcW w:w="544" w:type="dxa"/>
            <w:vMerge w:val="continue"/>
            <w:tcBorders>
              <w:left w:val="single" w:color="000000" w:sz="6" w:space="0"/>
            </w:tcBorders>
            <w:vAlign w:val="center"/>
          </w:tcPr>
          <w:p w14:paraId="3D7A9A59">
            <w:pPr>
              <w:pStyle w:val="4"/>
              <w:jc w:val="center"/>
            </w:pPr>
          </w:p>
        </w:tc>
        <w:tc>
          <w:tcPr>
            <w:tcW w:w="438" w:type="dxa"/>
            <w:vMerge w:val="continue"/>
            <w:tcBorders>
              <w:right w:val="single" w:color="auto" w:sz="4" w:space="0"/>
            </w:tcBorders>
            <w:vAlign w:val="center"/>
          </w:tcPr>
          <w:p w14:paraId="18943183">
            <w:pPr>
              <w:pStyle w:val="4"/>
              <w:jc w:val="center"/>
            </w:pPr>
          </w:p>
        </w:tc>
        <w:tc>
          <w:tcPr>
            <w:tcW w:w="890" w:type="dxa"/>
            <w:gridSpan w:val="2"/>
            <w:vMerge w:val="continue"/>
            <w:tcBorders>
              <w:left w:val="single" w:color="auto" w:sz="4" w:space="0"/>
            </w:tcBorders>
            <w:vAlign w:val="center"/>
          </w:tcPr>
          <w:p w14:paraId="1D95187B">
            <w:pPr>
              <w:pStyle w:val="4"/>
              <w:jc w:val="center"/>
            </w:pPr>
          </w:p>
        </w:tc>
        <w:tc>
          <w:tcPr>
            <w:tcW w:w="4478" w:type="dxa"/>
            <w:vMerge w:val="continue"/>
            <w:vAlign w:val="center"/>
          </w:tcPr>
          <w:p w14:paraId="0E4C20F9">
            <w:pPr>
              <w:pStyle w:val="4"/>
              <w:jc w:val="center"/>
            </w:pPr>
          </w:p>
        </w:tc>
        <w:tc>
          <w:tcPr>
            <w:tcW w:w="995" w:type="dxa"/>
            <w:vAlign w:val="center"/>
          </w:tcPr>
          <w:p w14:paraId="75EADB8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F82F1F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A22072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01B2646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29BC2F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jc w:val="center"/>
        </w:trPr>
        <w:tc>
          <w:tcPr>
            <w:tcW w:w="544" w:type="dxa"/>
            <w:vMerge w:val="restart"/>
            <w:tcBorders>
              <w:left w:val="single" w:color="000000" w:sz="6" w:space="0"/>
            </w:tcBorders>
            <w:vAlign w:val="center"/>
          </w:tcPr>
          <w:p w14:paraId="6150A66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12.3</w:t>
            </w:r>
          </w:p>
        </w:tc>
        <w:tc>
          <w:tcPr>
            <w:tcW w:w="438" w:type="dxa"/>
            <w:vMerge w:val="continue"/>
            <w:tcBorders>
              <w:right w:val="single" w:color="auto" w:sz="4" w:space="0"/>
            </w:tcBorders>
            <w:vAlign w:val="center"/>
          </w:tcPr>
          <w:p w14:paraId="2DA90568">
            <w:pPr>
              <w:pStyle w:val="4"/>
              <w:rPr>
                <w:rFonts w:ascii="仿宋_GB2312" w:hAnsi="仿宋_GB2312" w:eastAsia="仿宋_GB2312" w:cs="仿宋_GB2312"/>
                <w:sz w:val="21"/>
                <w:szCs w:val="21"/>
                <w:lang w:eastAsia="zh-CN"/>
              </w:rPr>
            </w:pPr>
          </w:p>
        </w:tc>
        <w:tc>
          <w:tcPr>
            <w:tcW w:w="890" w:type="dxa"/>
            <w:gridSpan w:val="2"/>
            <w:vMerge w:val="restart"/>
            <w:tcBorders>
              <w:left w:val="single" w:color="auto" w:sz="4" w:space="0"/>
            </w:tcBorders>
            <w:vAlign w:val="center"/>
          </w:tcPr>
          <w:p w14:paraId="73954B4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锈蚀</w:t>
            </w:r>
          </w:p>
        </w:tc>
        <w:tc>
          <w:tcPr>
            <w:tcW w:w="4478" w:type="dxa"/>
            <w:vMerge w:val="restart"/>
            <w:vAlign w:val="center"/>
          </w:tcPr>
          <w:p w14:paraId="622612F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不应出现严重锈蚀、铁锈填满绳股间隙</w:t>
            </w:r>
          </w:p>
        </w:tc>
        <w:tc>
          <w:tcPr>
            <w:tcW w:w="995" w:type="dxa"/>
            <w:vAlign w:val="center"/>
          </w:tcPr>
          <w:p w14:paraId="5259F67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1DC732C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3592EF7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6141734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AAD0E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jc w:val="center"/>
        </w:trPr>
        <w:tc>
          <w:tcPr>
            <w:tcW w:w="544" w:type="dxa"/>
            <w:vMerge w:val="continue"/>
            <w:tcBorders>
              <w:left w:val="single" w:color="000000" w:sz="6" w:space="0"/>
            </w:tcBorders>
            <w:vAlign w:val="center"/>
          </w:tcPr>
          <w:p w14:paraId="36C84657">
            <w:pPr>
              <w:pStyle w:val="4"/>
              <w:jc w:val="center"/>
            </w:pPr>
          </w:p>
        </w:tc>
        <w:tc>
          <w:tcPr>
            <w:tcW w:w="438" w:type="dxa"/>
            <w:vMerge w:val="continue"/>
            <w:tcBorders>
              <w:right w:val="single" w:color="auto" w:sz="4" w:space="0"/>
            </w:tcBorders>
            <w:vAlign w:val="center"/>
          </w:tcPr>
          <w:p w14:paraId="554AE6CC">
            <w:pPr>
              <w:pStyle w:val="4"/>
              <w:jc w:val="center"/>
            </w:pPr>
          </w:p>
        </w:tc>
        <w:tc>
          <w:tcPr>
            <w:tcW w:w="890" w:type="dxa"/>
            <w:gridSpan w:val="2"/>
            <w:vMerge w:val="continue"/>
            <w:tcBorders>
              <w:left w:val="single" w:color="auto" w:sz="4" w:space="0"/>
            </w:tcBorders>
            <w:vAlign w:val="center"/>
          </w:tcPr>
          <w:p w14:paraId="5BD1C761">
            <w:pPr>
              <w:pStyle w:val="4"/>
              <w:jc w:val="center"/>
            </w:pPr>
          </w:p>
        </w:tc>
        <w:tc>
          <w:tcPr>
            <w:tcW w:w="4478" w:type="dxa"/>
            <w:vMerge w:val="continue"/>
            <w:vAlign w:val="center"/>
          </w:tcPr>
          <w:p w14:paraId="10DB8BBE">
            <w:pPr>
              <w:pStyle w:val="4"/>
              <w:jc w:val="center"/>
            </w:pPr>
          </w:p>
        </w:tc>
        <w:tc>
          <w:tcPr>
            <w:tcW w:w="995" w:type="dxa"/>
            <w:vAlign w:val="center"/>
          </w:tcPr>
          <w:p w14:paraId="5B4A385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163CD2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70990F9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4D6AD2E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64ECB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02" w:hRule="atLeast"/>
          <w:jc w:val="center"/>
        </w:trPr>
        <w:tc>
          <w:tcPr>
            <w:tcW w:w="544" w:type="dxa"/>
            <w:vMerge w:val="restart"/>
            <w:tcBorders>
              <w:left w:val="single" w:color="000000" w:sz="6" w:space="0"/>
            </w:tcBorders>
            <w:vAlign w:val="center"/>
          </w:tcPr>
          <w:p w14:paraId="326E151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12.4</w:t>
            </w:r>
          </w:p>
        </w:tc>
        <w:tc>
          <w:tcPr>
            <w:tcW w:w="438" w:type="dxa"/>
            <w:vMerge w:val="continue"/>
            <w:tcBorders>
              <w:right w:val="single" w:color="auto" w:sz="4" w:space="0"/>
            </w:tcBorders>
            <w:vAlign w:val="center"/>
          </w:tcPr>
          <w:p w14:paraId="543997D9">
            <w:pPr>
              <w:pStyle w:val="4"/>
              <w:rPr>
                <w:rFonts w:ascii="仿宋_GB2312" w:hAnsi="仿宋_GB2312" w:eastAsia="仿宋_GB2312" w:cs="仿宋_GB2312"/>
                <w:sz w:val="21"/>
                <w:szCs w:val="21"/>
                <w:lang w:eastAsia="zh-CN"/>
              </w:rPr>
            </w:pPr>
          </w:p>
        </w:tc>
        <w:tc>
          <w:tcPr>
            <w:tcW w:w="890" w:type="dxa"/>
            <w:gridSpan w:val="2"/>
            <w:vMerge w:val="restart"/>
            <w:tcBorders>
              <w:left w:val="single" w:color="auto" w:sz="4" w:space="0"/>
            </w:tcBorders>
            <w:vAlign w:val="center"/>
          </w:tcPr>
          <w:p w14:paraId="285F7E9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断丝</w:t>
            </w:r>
          </w:p>
        </w:tc>
        <w:tc>
          <w:tcPr>
            <w:tcW w:w="4478" w:type="dxa"/>
            <w:vMerge w:val="restart"/>
            <w:vAlign w:val="center"/>
          </w:tcPr>
          <w:p w14:paraId="4FC17A5C">
            <w:pPr>
              <w:pStyle w:val="4"/>
              <w:spacing w:before="135" w:line="183" w:lineRule="auto"/>
              <w:ind w:left="112"/>
              <w:rPr>
                <w:rFonts w:ascii="仿宋_GB2312" w:hAnsi="仿宋_GB2312" w:eastAsia="仿宋_GB2312" w:cs="仿宋_GB2312"/>
                <w:sz w:val="21"/>
                <w:szCs w:val="21"/>
                <w:lang w:eastAsia="zh-CN"/>
              </w:rPr>
            </w:pPr>
            <w:r>
              <w:rPr>
                <w:rFonts w:hint="eastAsia" w:ascii="仿宋_GB2312" w:hAnsi="仿宋_GB2312" w:eastAsia="仿宋_GB2312" w:cs="仿宋_GB2312"/>
                <w:spacing w:val="18"/>
                <w:sz w:val="21"/>
                <w:szCs w:val="21"/>
                <w:lang w:eastAsia="zh-CN"/>
              </w:rPr>
              <w:t>钢丝绳外层绳股在一个捻距内断丝总数不应大于下表的规定：</w:t>
            </w:r>
          </w:p>
          <w:p w14:paraId="0BDB25A6">
            <w:pPr>
              <w:spacing w:line="63" w:lineRule="exact"/>
              <w:rPr>
                <w:rFonts w:ascii="仿宋_GB2312" w:hAnsi="仿宋_GB2312" w:eastAsia="仿宋_GB2312" w:cs="仿宋_GB2312"/>
                <w:szCs w:val="21"/>
              </w:rPr>
            </w:pPr>
          </w:p>
          <w:tbl>
            <w:tblPr>
              <w:tblStyle w:val="5"/>
              <w:tblW w:w="0" w:type="auto"/>
              <w:tblInd w:w="8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6"/>
              <w:gridCol w:w="682"/>
              <w:gridCol w:w="687"/>
              <w:gridCol w:w="750"/>
            </w:tblGrid>
            <w:tr w14:paraId="048113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2016" w:type="dxa"/>
                  <w:vMerge w:val="restart"/>
                  <w:tcBorders>
                    <w:bottom w:val="nil"/>
                  </w:tcBorders>
                </w:tcPr>
                <w:p w14:paraId="0F888C88">
                  <w:pPr>
                    <w:pStyle w:val="4"/>
                    <w:spacing w:before="277" w:line="184" w:lineRule="auto"/>
                    <w:jc w:val="center"/>
                    <w:rPr>
                      <w:rFonts w:ascii="仿宋_GB2312" w:hAnsi="仿宋_GB2312" w:eastAsia="仿宋_GB2312" w:cs="仿宋_GB2312"/>
                      <w:sz w:val="21"/>
                      <w:szCs w:val="21"/>
                    </w:rPr>
                  </w:pPr>
                  <w:r>
                    <w:rPr>
                      <w:rFonts w:hint="eastAsia" w:ascii="仿宋_GB2312" w:hAnsi="仿宋_GB2312" w:eastAsia="仿宋_GB2312" w:cs="仿宋_GB2312"/>
                      <w:spacing w:val="15"/>
                      <w:sz w:val="21"/>
                      <w:szCs w:val="21"/>
                    </w:rPr>
                    <w:t>断丝的形式</w:t>
                  </w:r>
                </w:p>
              </w:tc>
              <w:tc>
                <w:tcPr>
                  <w:tcW w:w="2119" w:type="dxa"/>
                  <w:gridSpan w:val="3"/>
                </w:tcPr>
                <w:p w14:paraId="76004CFC">
                  <w:pPr>
                    <w:pStyle w:val="4"/>
                    <w:spacing w:before="97" w:line="183" w:lineRule="auto"/>
                    <w:jc w:val="center"/>
                    <w:rPr>
                      <w:rFonts w:ascii="仿宋_GB2312" w:hAnsi="仿宋_GB2312" w:eastAsia="仿宋_GB2312" w:cs="仿宋_GB2312"/>
                      <w:sz w:val="21"/>
                      <w:szCs w:val="21"/>
                    </w:rPr>
                  </w:pPr>
                  <w:r>
                    <w:rPr>
                      <w:rFonts w:hint="eastAsia" w:ascii="仿宋_GB2312" w:hAnsi="仿宋_GB2312" w:eastAsia="仿宋_GB2312" w:cs="仿宋_GB2312"/>
                      <w:spacing w:val="16"/>
                      <w:sz w:val="21"/>
                      <w:szCs w:val="21"/>
                    </w:rPr>
                    <w:t>钢丝绳类型</w:t>
                  </w:r>
                </w:p>
              </w:tc>
            </w:tr>
            <w:tr w14:paraId="44E13B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2016" w:type="dxa"/>
                  <w:vMerge w:val="continue"/>
                  <w:tcBorders>
                    <w:top w:val="nil"/>
                  </w:tcBorders>
                </w:tcPr>
                <w:p w14:paraId="6F0F0622">
                  <w:pPr>
                    <w:jc w:val="center"/>
                    <w:rPr>
                      <w:rFonts w:ascii="仿宋_GB2312" w:hAnsi="仿宋_GB2312" w:eastAsia="仿宋_GB2312" w:cs="仿宋_GB2312"/>
                      <w:szCs w:val="21"/>
                    </w:rPr>
                  </w:pPr>
                </w:p>
              </w:tc>
              <w:tc>
                <w:tcPr>
                  <w:tcW w:w="682" w:type="dxa"/>
                  <w:vAlign w:val="center"/>
                </w:tcPr>
                <w:p w14:paraId="574C3B4A">
                  <w:pPr>
                    <w:jc w:val="center"/>
                    <w:rPr>
                      <w:rFonts w:ascii="仿宋_GB2312" w:hAnsi="仿宋_GB2312" w:eastAsia="仿宋_GB2312" w:cs="仿宋_GB2312"/>
                      <w:szCs w:val="21"/>
                    </w:rPr>
                  </w:pPr>
                  <w:r>
                    <w:rPr>
                      <w:rFonts w:hint="eastAsia" w:ascii="仿宋_GB2312" w:hAnsi="仿宋_GB2312" w:eastAsia="仿宋_GB2312" w:cs="仿宋_GB2312"/>
                      <w:spacing w:val="13"/>
                      <w:szCs w:val="21"/>
                    </w:rPr>
                    <w:t>6×19</w:t>
                  </w:r>
                </w:p>
              </w:tc>
              <w:tc>
                <w:tcPr>
                  <w:tcW w:w="687" w:type="dxa"/>
                  <w:vAlign w:val="center"/>
                </w:tcPr>
                <w:p w14:paraId="21737287">
                  <w:pPr>
                    <w:jc w:val="center"/>
                    <w:rPr>
                      <w:rFonts w:ascii="仿宋_GB2312" w:hAnsi="仿宋_GB2312" w:eastAsia="仿宋_GB2312" w:cs="仿宋_GB2312"/>
                      <w:szCs w:val="21"/>
                    </w:rPr>
                  </w:pPr>
                  <w:r>
                    <w:rPr>
                      <w:rFonts w:hint="eastAsia" w:ascii="仿宋_GB2312" w:hAnsi="仿宋_GB2312" w:eastAsia="仿宋_GB2312" w:cs="仿宋_GB2312"/>
                      <w:spacing w:val="13"/>
                      <w:szCs w:val="21"/>
                    </w:rPr>
                    <w:t>8×19</w:t>
                  </w:r>
                </w:p>
              </w:tc>
              <w:tc>
                <w:tcPr>
                  <w:tcW w:w="750" w:type="dxa"/>
                  <w:vAlign w:val="center"/>
                </w:tcPr>
                <w:p w14:paraId="18E8B3D9">
                  <w:pPr>
                    <w:jc w:val="center"/>
                    <w:rPr>
                      <w:rFonts w:ascii="仿宋_GB2312" w:hAnsi="仿宋_GB2312" w:eastAsia="仿宋_GB2312" w:cs="仿宋_GB2312"/>
                      <w:szCs w:val="21"/>
                    </w:rPr>
                  </w:pPr>
                  <w:r>
                    <w:rPr>
                      <w:rFonts w:hint="eastAsia" w:ascii="仿宋_GB2312" w:hAnsi="仿宋_GB2312" w:eastAsia="仿宋_GB2312" w:cs="仿宋_GB2312"/>
                      <w:spacing w:val="13"/>
                      <w:szCs w:val="21"/>
                    </w:rPr>
                    <w:t>9×19</w:t>
                  </w:r>
                </w:p>
              </w:tc>
            </w:tr>
            <w:tr w14:paraId="642E8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2FFAD05C">
                  <w:pPr>
                    <w:pStyle w:val="4"/>
                    <w:spacing w:before="94" w:line="184" w:lineRule="auto"/>
                    <w:ind w:left="115"/>
                    <w:jc w:val="left"/>
                    <w:rPr>
                      <w:rFonts w:ascii="仿宋_GB2312" w:hAnsi="仿宋_GB2312" w:eastAsia="仿宋_GB2312" w:cs="仿宋_GB2312"/>
                      <w:sz w:val="21"/>
                      <w:szCs w:val="21"/>
                    </w:rPr>
                  </w:pPr>
                  <w:r>
                    <w:rPr>
                      <w:rFonts w:hint="eastAsia" w:ascii="仿宋_GB2312" w:hAnsi="仿宋_GB2312" w:eastAsia="仿宋_GB2312" w:cs="仿宋_GB2312"/>
                      <w:spacing w:val="17"/>
                      <w:sz w:val="21"/>
                      <w:szCs w:val="21"/>
                    </w:rPr>
                    <w:t>均布在外层绳股上</w:t>
                  </w:r>
                </w:p>
              </w:tc>
              <w:tc>
                <w:tcPr>
                  <w:tcW w:w="682" w:type="dxa"/>
                  <w:vAlign w:val="center"/>
                </w:tcPr>
                <w:p w14:paraId="433D59B4">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24</w:t>
                  </w:r>
                </w:p>
              </w:tc>
              <w:tc>
                <w:tcPr>
                  <w:tcW w:w="687" w:type="dxa"/>
                  <w:tcBorders>
                    <w:right w:val="single" w:color="auto" w:sz="4" w:space="0"/>
                  </w:tcBorders>
                  <w:vAlign w:val="center"/>
                </w:tcPr>
                <w:p w14:paraId="5487B84D">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30</w:t>
                  </w:r>
                </w:p>
              </w:tc>
              <w:tc>
                <w:tcPr>
                  <w:tcW w:w="750" w:type="dxa"/>
                  <w:tcBorders>
                    <w:left w:val="single" w:color="auto" w:sz="4" w:space="0"/>
                  </w:tcBorders>
                  <w:vAlign w:val="center"/>
                </w:tcPr>
                <w:p w14:paraId="083B2D98">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34</w:t>
                  </w:r>
                </w:p>
              </w:tc>
            </w:tr>
            <w:tr w14:paraId="6330B0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45E251D2">
                  <w:pPr>
                    <w:pStyle w:val="4"/>
                    <w:spacing w:before="95" w:line="184" w:lineRule="auto"/>
                    <w:ind w:left="113"/>
                    <w:jc w:val="left"/>
                    <w:rPr>
                      <w:rFonts w:ascii="仿宋_GB2312" w:hAnsi="仿宋_GB2312" w:eastAsia="仿宋_GB2312" w:cs="仿宋_GB2312"/>
                      <w:sz w:val="21"/>
                      <w:szCs w:val="21"/>
                      <w:lang w:eastAsia="zh-CN"/>
                    </w:rPr>
                  </w:pPr>
                  <w:r>
                    <w:rPr>
                      <w:rFonts w:hint="eastAsia" w:ascii="仿宋_GB2312" w:hAnsi="仿宋_GB2312" w:eastAsia="仿宋_GB2312" w:cs="仿宋_GB2312"/>
                      <w:spacing w:val="19"/>
                      <w:sz w:val="21"/>
                      <w:szCs w:val="21"/>
                      <w:lang w:eastAsia="zh-CN"/>
                    </w:rPr>
                    <w:t>集中在一根或两根外层绳股上</w:t>
                  </w:r>
                </w:p>
              </w:tc>
              <w:tc>
                <w:tcPr>
                  <w:tcW w:w="682" w:type="dxa"/>
                  <w:vAlign w:val="center"/>
                </w:tcPr>
                <w:p w14:paraId="691F74FC">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8</w:t>
                  </w:r>
                </w:p>
              </w:tc>
              <w:tc>
                <w:tcPr>
                  <w:tcW w:w="687" w:type="dxa"/>
                  <w:tcBorders>
                    <w:right w:val="single" w:color="auto" w:sz="4" w:space="0"/>
                  </w:tcBorders>
                  <w:vAlign w:val="center"/>
                </w:tcPr>
                <w:p w14:paraId="554564F6">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10</w:t>
                  </w:r>
                </w:p>
              </w:tc>
              <w:tc>
                <w:tcPr>
                  <w:tcW w:w="750" w:type="dxa"/>
                  <w:tcBorders>
                    <w:left w:val="single" w:color="auto" w:sz="4" w:space="0"/>
                  </w:tcBorders>
                  <w:vAlign w:val="center"/>
                </w:tcPr>
                <w:p w14:paraId="13D4098F">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11</w:t>
                  </w:r>
                </w:p>
              </w:tc>
            </w:tr>
            <w:tr w14:paraId="58B2CC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711FCB7B">
                  <w:pPr>
                    <w:pStyle w:val="4"/>
                    <w:spacing w:before="95" w:line="184" w:lineRule="auto"/>
                    <w:ind w:left="114"/>
                    <w:jc w:val="left"/>
                    <w:rPr>
                      <w:rFonts w:ascii="仿宋_GB2312" w:hAnsi="仿宋_GB2312" w:eastAsia="仿宋_GB2312" w:cs="仿宋_GB2312"/>
                      <w:sz w:val="21"/>
                      <w:szCs w:val="21"/>
                      <w:lang w:eastAsia="zh-CN"/>
                    </w:rPr>
                  </w:pPr>
                  <w:r>
                    <w:rPr>
                      <w:rFonts w:hint="eastAsia" w:ascii="仿宋_GB2312" w:hAnsi="仿宋_GB2312" w:eastAsia="仿宋_GB2312" w:cs="仿宋_GB2312"/>
                      <w:spacing w:val="18"/>
                      <w:sz w:val="21"/>
                      <w:szCs w:val="21"/>
                      <w:lang w:eastAsia="zh-CN"/>
                    </w:rPr>
                    <w:t>一根外层绳股上相邻的断丝</w:t>
                  </w:r>
                </w:p>
              </w:tc>
              <w:tc>
                <w:tcPr>
                  <w:tcW w:w="682" w:type="dxa"/>
                  <w:vAlign w:val="center"/>
                </w:tcPr>
                <w:p w14:paraId="35B64090">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c>
                <w:tcPr>
                  <w:tcW w:w="687" w:type="dxa"/>
                  <w:vAlign w:val="center"/>
                </w:tcPr>
                <w:p w14:paraId="150F247B">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c>
                <w:tcPr>
                  <w:tcW w:w="750" w:type="dxa"/>
                  <w:vAlign w:val="center"/>
                </w:tcPr>
                <w:p w14:paraId="7FF12EAC">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r>
            <w:tr w14:paraId="3C3B7B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35F7444F">
                  <w:pPr>
                    <w:pStyle w:val="4"/>
                    <w:spacing w:before="97" w:line="179" w:lineRule="auto"/>
                    <w:ind w:left="114"/>
                    <w:jc w:val="left"/>
                    <w:rPr>
                      <w:rFonts w:ascii="仿宋_GB2312" w:hAnsi="仿宋_GB2312" w:eastAsia="仿宋_GB2312" w:cs="仿宋_GB2312"/>
                      <w:sz w:val="21"/>
                      <w:szCs w:val="21"/>
                    </w:rPr>
                  </w:pPr>
                  <w:r>
                    <w:rPr>
                      <w:rFonts w:hint="eastAsia" w:ascii="仿宋_GB2312" w:hAnsi="仿宋_GB2312" w:eastAsia="仿宋_GB2312" w:cs="仿宋_GB2312"/>
                      <w:spacing w:val="22"/>
                      <w:sz w:val="21"/>
                      <w:szCs w:val="21"/>
                    </w:rPr>
                    <w:t>股谷(缝)断丝</w:t>
                  </w:r>
                </w:p>
              </w:tc>
              <w:tc>
                <w:tcPr>
                  <w:tcW w:w="682" w:type="dxa"/>
                  <w:vAlign w:val="center"/>
                </w:tcPr>
                <w:p w14:paraId="1BDB6759">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c>
                <w:tcPr>
                  <w:tcW w:w="687" w:type="dxa"/>
                  <w:vAlign w:val="center"/>
                </w:tcPr>
                <w:p w14:paraId="26993A25">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c>
                <w:tcPr>
                  <w:tcW w:w="750" w:type="dxa"/>
                  <w:vAlign w:val="center"/>
                </w:tcPr>
                <w:p w14:paraId="397C9E6F">
                  <w:pPr>
                    <w:spacing w:before="114"/>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r>
            <w:tr w14:paraId="048F7E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9" w:hRule="atLeast"/>
              </w:trPr>
              <w:tc>
                <w:tcPr>
                  <w:tcW w:w="4135" w:type="dxa"/>
                  <w:gridSpan w:val="4"/>
                </w:tcPr>
                <w:p w14:paraId="50364BDD">
                  <w:pPr>
                    <w:pStyle w:val="4"/>
                    <w:spacing w:before="137" w:line="246" w:lineRule="auto"/>
                    <w:ind w:left="506" w:right="110" w:hanging="506" w:hangingChars="200"/>
                    <w:rPr>
                      <w:rFonts w:ascii="仿宋_GB2312" w:hAnsi="仿宋_GB2312" w:eastAsia="仿宋_GB2312" w:cs="仿宋_GB2312"/>
                      <w:sz w:val="21"/>
                      <w:szCs w:val="21"/>
                      <w:lang w:eastAsia="zh-CN"/>
                    </w:rPr>
                  </w:pPr>
                  <w:r>
                    <w:rPr>
                      <w:rFonts w:hint="eastAsia" w:ascii="仿宋_GB2312" w:hAnsi="仿宋_GB2312" w:eastAsia="仿宋_GB2312" w:cs="仿宋_GB2312"/>
                      <w:b/>
                      <w:bCs/>
                      <w:spacing w:val="21"/>
                      <w:sz w:val="21"/>
                      <w:szCs w:val="21"/>
                      <w:lang w:eastAsia="zh-CN"/>
                    </w:rPr>
                    <w:t>注：</w:t>
                  </w:r>
                  <w:r>
                    <w:rPr>
                      <w:rFonts w:hint="eastAsia" w:ascii="仿宋_GB2312" w:hAnsi="仿宋_GB2312" w:eastAsia="仿宋_GB2312" w:cs="仿宋_GB2312"/>
                      <w:spacing w:val="21"/>
                      <w:sz w:val="21"/>
                      <w:szCs w:val="21"/>
                      <w:lang w:eastAsia="zh-CN"/>
                    </w:rPr>
                    <w:t>上述断丝数的参考长度为一个捻距，约为6</w:t>
                  </w:r>
                  <w:r>
                    <w:rPr>
                      <w:rFonts w:hint="eastAsia" w:ascii="仿宋_GB2312" w:hAnsi="仿宋_GB2312" w:eastAsia="仿宋_GB2312" w:cs="仿宋_GB2312"/>
                      <w:i/>
                      <w:iCs/>
                      <w:spacing w:val="21"/>
                      <w:sz w:val="21"/>
                      <w:szCs w:val="21"/>
                      <w:lang w:eastAsia="zh-CN"/>
                    </w:rPr>
                    <w:t>d</w:t>
                  </w:r>
                  <w:r>
                    <w:rPr>
                      <w:rFonts w:hint="eastAsia" w:ascii="仿宋_GB2312" w:hAnsi="仿宋_GB2312" w:eastAsia="仿宋_GB2312" w:cs="仿宋_GB2312"/>
                      <w:spacing w:val="21"/>
                      <w:sz w:val="21"/>
                      <w:szCs w:val="21"/>
                      <w:lang w:eastAsia="zh-CN"/>
                    </w:rPr>
                    <w:t>(</w:t>
                  </w:r>
                  <w:r>
                    <w:rPr>
                      <w:rFonts w:hint="eastAsia" w:ascii="仿宋_GB2312" w:hAnsi="仿宋_GB2312" w:eastAsia="仿宋_GB2312" w:cs="仿宋_GB2312"/>
                      <w:i/>
                      <w:iCs/>
                      <w:spacing w:val="21"/>
                      <w:sz w:val="21"/>
                      <w:szCs w:val="21"/>
                      <w:lang w:eastAsia="zh-CN"/>
                    </w:rPr>
                    <w:t>d</w:t>
                  </w:r>
                  <w:r>
                    <w:rPr>
                      <w:rFonts w:hint="eastAsia" w:ascii="仿宋_GB2312" w:hAnsi="仿宋_GB2312" w:eastAsia="仿宋_GB2312" w:cs="仿宋_GB2312"/>
                      <w:spacing w:val="21"/>
                      <w:sz w:val="21"/>
                      <w:szCs w:val="21"/>
                      <w:lang w:eastAsia="zh-CN"/>
                    </w:rPr>
                    <w:t>表示</w:t>
                  </w:r>
                  <w:r>
                    <w:rPr>
                      <w:rFonts w:hint="eastAsia" w:ascii="仿宋_GB2312" w:hAnsi="仿宋_GB2312" w:eastAsia="仿宋_GB2312" w:cs="仿宋_GB2312"/>
                      <w:spacing w:val="14"/>
                      <w:sz w:val="21"/>
                      <w:szCs w:val="21"/>
                      <w:lang w:eastAsia="zh-CN"/>
                    </w:rPr>
                    <w:t>钢丝绳的公称直径)。</w:t>
                  </w:r>
                </w:p>
              </w:tc>
            </w:tr>
          </w:tbl>
          <w:p w14:paraId="3D05C1D3">
            <w:pPr>
              <w:pStyle w:val="4"/>
              <w:ind w:left="21" w:leftChars="10"/>
              <w:jc w:val="left"/>
              <w:rPr>
                <w:rFonts w:ascii="仿宋_GB2312" w:hAnsi="仿宋_GB2312" w:eastAsia="仿宋_GB2312" w:cs="仿宋_GB2312"/>
                <w:sz w:val="21"/>
                <w:szCs w:val="21"/>
                <w:lang w:eastAsia="zh-CN"/>
              </w:rPr>
            </w:pPr>
          </w:p>
        </w:tc>
        <w:tc>
          <w:tcPr>
            <w:tcW w:w="995" w:type="dxa"/>
            <w:vAlign w:val="center"/>
          </w:tcPr>
          <w:p w14:paraId="04000AD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9BB6B5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7A4F4BE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B5BD2D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48D89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02" w:hRule="atLeast"/>
          <w:jc w:val="center"/>
        </w:trPr>
        <w:tc>
          <w:tcPr>
            <w:tcW w:w="544" w:type="dxa"/>
            <w:vMerge w:val="continue"/>
            <w:tcBorders>
              <w:left w:val="single" w:color="000000" w:sz="6" w:space="0"/>
            </w:tcBorders>
            <w:vAlign w:val="center"/>
          </w:tcPr>
          <w:p w14:paraId="098CD791">
            <w:pPr>
              <w:pStyle w:val="4"/>
              <w:jc w:val="center"/>
            </w:pPr>
          </w:p>
        </w:tc>
        <w:tc>
          <w:tcPr>
            <w:tcW w:w="438" w:type="dxa"/>
            <w:vMerge w:val="continue"/>
            <w:tcBorders>
              <w:right w:val="single" w:color="auto" w:sz="4" w:space="0"/>
            </w:tcBorders>
            <w:vAlign w:val="center"/>
          </w:tcPr>
          <w:p w14:paraId="3852B6CF">
            <w:pPr>
              <w:pStyle w:val="4"/>
              <w:jc w:val="center"/>
            </w:pPr>
          </w:p>
        </w:tc>
        <w:tc>
          <w:tcPr>
            <w:tcW w:w="890" w:type="dxa"/>
            <w:gridSpan w:val="2"/>
            <w:vMerge w:val="continue"/>
            <w:tcBorders>
              <w:left w:val="single" w:color="auto" w:sz="4" w:space="0"/>
            </w:tcBorders>
            <w:vAlign w:val="center"/>
          </w:tcPr>
          <w:p w14:paraId="4A7B7285">
            <w:pPr>
              <w:pStyle w:val="4"/>
              <w:jc w:val="center"/>
            </w:pPr>
          </w:p>
        </w:tc>
        <w:tc>
          <w:tcPr>
            <w:tcW w:w="4478" w:type="dxa"/>
            <w:vMerge w:val="continue"/>
            <w:vAlign w:val="center"/>
          </w:tcPr>
          <w:p w14:paraId="3D16F2F2">
            <w:pPr>
              <w:pStyle w:val="4"/>
              <w:jc w:val="center"/>
            </w:pPr>
          </w:p>
        </w:tc>
        <w:tc>
          <w:tcPr>
            <w:tcW w:w="995" w:type="dxa"/>
            <w:vAlign w:val="center"/>
          </w:tcPr>
          <w:p w14:paraId="1FA1F1D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1B17A9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2249219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1F4F404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5DA5A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7" w:hRule="atLeast"/>
          <w:jc w:val="center"/>
        </w:trPr>
        <w:tc>
          <w:tcPr>
            <w:tcW w:w="544" w:type="dxa"/>
            <w:vMerge w:val="restart"/>
            <w:tcBorders>
              <w:left w:val="single" w:color="000000" w:sz="6" w:space="0"/>
            </w:tcBorders>
            <w:vAlign w:val="center"/>
          </w:tcPr>
          <w:p w14:paraId="58D3569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12.5</w:t>
            </w:r>
          </w:p>
        </w:tc>
        <w:tc>
          <w:tcPr>
            <w:tcW w:w="438" w:type="dxa"/>
            <w:vMerge w:val="continue"/>
            <w:tcBorders>
              <w:right w:val="single" w:color="auto" w:sz="4" w:space="0"/>
            </w:tcBorders>
            <w:vAlign w:val="center"/>
          </w:tcPr>
          <w:p w14:paraId="34893FD2">
            <w:pPr>
              <w:pStyle w:val="4"/>
              <w:rPr>
                <w:rFonts w:ascii="仿宋_GB2312" w:hAnsi="仿宋_GB2312" w:eastAsia="仿宋_GB2312" w:cs="仿宋_GB2312"/>
                <w:sz w:val="21"/>
                <w:szCs w:val="21"/>
                <w:lang w:eastAsia="zh-CN"/>
              </w:rPr>
            </w:pPr>
          </w:p>
        </w:tc>
        <w:tc>
          <w:tcPr>
            <w:tcW w:w="890" w:type="dxa"/>
            <w:gridSpan w:val="2"/>
            <w:vMerge w:val="restart"/>
            <w:tcBorders>
              <w:left w:val="single" w:color="auto" w:sz="4" w:space="0"/>
            </w:tcBorders>
            <w:vAlign w:val="center"/>
          </w:tcPr>
          <w:p w14:paraId="1ABCCBB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表面油污</w:t>
            </w:r>
          </w:p>
        </w:tc>
        <w:tc>
          <w:tcPr>
            <w:tcW w:w="4478" w:type="dxa"/>
            <w:vMerge w:val="restart"/>
            <w:vAlign w:val="center"/>
          </w:tcPr>
          <w:p w14:paraId="71D94C5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表面不应有明显油污</w:t>
            </w:r>
          </w:p>
        </w:tc>
        <w:tc>
          <w:tcPr>
            <w:tcW w:w="995" w:type="dxa"/>
            <w:vAlign w:val="center"/>
          </w:tcPr>
          <w:p w14:paraId="6AEA7E0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02FF24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5FEF507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FE42E3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6A2461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7" w:hRule="atLeast"/>
          <w:jc w:val="center"/>
        </w:trPr>
        <w:tc>
          <w:tcPr>
            <w:tcW w:w="544" w:type="dxa"/>
            <w:vMerge w:val="continue"/>
            <w:tcBorders>
              <w:left w:val="single" w:color="000000" w:sz="6" w:space="0"/>
            </w:tcBorders>
            <w:vAlign w:val="center"/>
          </w:tcPr>
          <w:p w14:paraId="458676C2">
            <w:pPr>
              <w:pStyle w:val="4"/>
              <w:jc w:val="center"/>
            </w:pPr>
          </w:p>
        </w:tc>
        <w:tc>
          <w:tcPr>
            <w:tcW w:w="438" w:type="dxa"/>
            <w:vMerge w:val="continue"/>
            <w:tcBorders>
              <w:right w:val="single" w:color="auto" w:sz="4" w:space="0"/>
            </w:tcBorders>
            <w:vAlign w:val="center"/>
          </w:tcPr>
          <w:p w14:paraId="0216373C">
            <w:pPr>
              <w:pStyle w:val="4"/>
              <w:jc w:val="center"/>
            </w:pPr>
          </w:p>
        </w:tc>
        <w:tc>
          <w:tcPr>
            <w:tcW w:w="890" w:type="dxa"/>
            <w:gridSpan w:val="2"/>
            <w:vMerge w:val="continue"/>
            <w:tcBorders>
              <w:left w:val="single" w:color="auto" w:sz="4" w:space="0"/>
            </w:tcBorders>
            <w:vAlign w:val="center"/>
          </w:tcPr>
          <w:p w14:paraId="12E022D6">
            <w:pPr>
              <w:pStyle w:val="4"/>
              <w:jc w:val="center"/>
            </w:pPr>
          </w:p>
        </w:tc>
        <w:tc>
          <w:tcPr>
            <w:tcW w:w="4478" w:type="dxa"/>
            <w:vMerge w:val="continue"/>
            <w:vAlign w:val="center"/>
          </w:tcPr>
          <w:p w14:paraId="105FF63B">
            <w:pPr>
              <w:pStyle w:val="4"/>
              <w:jc w:val="center"/>
            </w:pPr>
          </w:p>
        </w:tc>
        <w:tc>
          <w:tcPr>
            <w:tcW w:w="995" w:type="dxa"/>
            <w:vAlign w:val="center"/>
          </w:tcPr>
          <w:p w14:paraId="509A9EB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690833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127D2F0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6D9090B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07EAA1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restart"/>
            <w:tcBorders>
              <w:left w:val="single" w:color="000000" w:sz="6" w:space="0"/>
            </w:tcBorders>
            <w:vAlign w:val="center"/>
          </w:tcPr>
          <w:p w14:paraId="0F1E3DA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12.8</w:t>
            </w:r>
          </w:p>
        </w:tc>
        <w:tc>
          <w:tcPr>
            <w:tcW w:w="445" w:type="dxa"/>
            <w:gridSpan w:val="2"/>
            <w:vMerge w:val="restart"/>
            <w:tcBorders>
              <w:right w:val="single" w:color="auto" w:sz="4" w:space="0"/>
            </w:tcBorders>
            <w:vAlign w:val="center"/>
          </w:tcPr>
          <w:p w14:paraId="0321032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包  覆          绳   (带)</w:t>
            </w:r>
          </w:p>
        </w:tc>
        <w:tc>
          <w:tcPr>
            <w:tcW w:w="883" w:type="dxa"/>
            <w:vMerge w:val="restart"/>
            <w:tcBorders>
              <w:left w:val="single" w:color="auto" w:sz="4" w:space="0"/>
            </w:tcBorders>
            <w:vAlign w:val="center"/>
          </w:tcPr>
          <w:p w14:paraId="393A48D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破损</w:t>
            </w:r>
          </w:p>
        </w:tc>
        <w:tc>
          <w:tcPr>
            <w:tcW w:w="4478" w:type="dxa"/>
            <w:vMerge w:val="restart"/>
            <w:vAlign w:val="center"/>
          </w:tcPr>
          <w:p w14:paraId="155864D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端接装置之间包覆绳(带)不应出现下列情况之 一：</w:t>
            </w:r>
          </w:p>
          <w:p w14:paraId="3B6DC769">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a)包覆层变形(如鼓包、压痕、折痕、凹陷等)</w:t>
            </w:r>
          </w:p>
          <w:p w14:paraId="680BD8D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b)因包覆层裂纹或磨损导致承载体外露</w:t>
            </w:r>
          </w:p>
          <w:p w14:paraId="5EE973E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c)包覆层表面有承载体刺出</w:t>
            </w:r>
          </w:p>
          <w:p w14:paraId="0D3A197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d)承载体断裂</w:t>
            </w:r>
          </w:p>
        </w:tc>
        <w:tc>
          <w:tcPr>
            <w:tcW w:w="995" w:type="dxa"/>
            <w:vAlign w:val="center"/>
          </w:tcPr>
          <w:p w14:paraId="515DD48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B6556F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46E681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28D0312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236E0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continue"/>
            <w:tcBorders>
              <w:left w:val="single" w:color="000000" w:sz="6" w:space="0"/>
            </w:tcBorders>
            <w:vAlign w:val="center"/>
          </w:tcPr>
          <w:p w14:paraId="2CAFE130">
            <w:pPr>
              <w:pStyle w:val="4"/>
              <w:jc w:val="center"/>
            </w:pPr>
          </w:p>
        </w:tc>
        <w:tc>
          <w:tcPr>
            <w:tcW w:w="445" w:type="dxa"/>
            <w:gridSpan w:val="2"/>
            <w:vMerge w:val="continue"/>
            <w:tcBorders>
              <w:right w:val="single" w:color="auto" w:sz="4" w:space="0"/>
            </w:tcBorders>
            <w:vAlign w:val="center"/>
          </w:tcPr>
          <w:p w14:paraId="6304D135">
            <w:pPr>
              <w:pStyle w:val="4"/>
              <w:jc w:val="center"/>
            </w:pPr>
          </w:p>
        </w:tc>
        <w:tc>
          <w:tcPr>
            <w:tcW w:w="883" w:type="dxa"/>
            <w:vMerge w:val="continue"/>
            <w:tcBorders>
              <w:left w:val="single" w:color="auto" w:sz="4" w:space="0"/>
            </w:tcBorders>
            <w:vAlign w:val="center"/>
          </w:tcPr>
          <w:p w14:paraId="5416A378">
            <w:pPr>
              <w:pStyle w:val="4"/>
              <w:jc w:val="center"/>
            </w:pPr>
          </w:p>
        </w:tc>
        <w:tc>
          <w:tcPr>
            <w:tcW w:w="4478" w:type="dxa"/>
            <w:vMerge w:val="continue"/>
            <w:vAlign w:val="center"/>
          </w:tcPr>
          <w:p w14:paraId="6C1A6B0A">
            <w:pPr>
              <w:pStyle w:val="4"/>
              <w:jc w:val="center"/>
            </w:pPr>
          </w:p>
        </w:tc>
        <w:tc>
          <w:tcPr>
            <w:tcW w:w="995" w:type="dxa"/>
            <w:vAlign w:val="center"/>
          </w:tcPr>
          <w:p w14:paraId="22E5CEF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041108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BA547A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6655EC3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0683B8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jc w:val="center"/>
        </w:trPr>
        <w:tc>
          <w:tcPr>
            <w:tcW w:w="544" w:type="dxa"/>
            <w:vMerge w:val="restart"/>
            <w:tcBorders>
              <w:left w:val="single" w:color="000000" w:sz="6" w:space="0"/>
            </w:tcBorders>
            <w:vAlign w:val="center"/>
          </w:tcPr>
          <w:p w14:paraId="46D0432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12.9</w:t>
            </w:r>
          </w:p>
        </w:tc>
        <w:tc>
          <w:tcPr>
            <w:tcW w:w="445" w:type="dxa"/>
            <w:gridSpan w:val="2"/>
            <w:vMerge w:val="continue"/>
            <w:tcBorders>
              <w:right w:val="single" w:color="auto" w:sz="4" w:space="0"/>
            </w:tcBorders>
            <w:vAlign w:val="center"/>
          </w:tcPr>
          <w:p w14:paraId="0FC303C4">
            <w:pPr>
              <w:pStyle w:val="4"/>
              <w:rPr>
                <w:rFonts w:ascii="仿宋_GB2312" w:hAnsi="仿宋_GB2312" w:eastAsia="仿宋_GB2312" w:cs="仿宋_GB2312"/>
                <w:sz w:val="21"/>
                <w:szCs w:val="21"/>
                <w:lang w:eastAsia="zh-CN"/>
              </w:rPr>
            </w:pPr>
          </w:p>
        </w:tc>
        <w:tc>
          <w:tcPr>
            <w:tcW w:w="883" w:type="dxa"/>
            <w:vMerge w:val="restart"/>
            <w:tcBorders>
              <w:left w:val="single" w:color="auto" w:sz="4" w:space="0"/>
            </w:tcBorders>
            <w:vAlign w:val="center"/>
          </w:tcPr>
          <w:p w14:paraId="0391ED5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直径或厚度减小</w:t>
            </w:r>
          </w:p>
        </w:tc>
        <w:tc>
          <w:tcPr>
            <w:tcW w:w="4478" w:type="dxa"/>
            <w:vMerge w:val="restart"/>
            <w:vAlign w:val="center"/>
          </w:tcPr>
          <w:p w14:paraId="4FDF345D">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包覆绳(带)的实测直径(实测厚度)相对公称直径(公称厚度)不应减少到制造商提供的值</w:t>
            </w:r>
          </w:p>
        </w:tc>
        <w:tc>
          <w:tcPr>
            <w:tcW w:w="995" w:type="dxa"/>
            <w:vAlign w:val="center"/>
          </w:tcPr>
          <w:p w14:paraId="65D5873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C99EA7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0A8F2B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5F85B48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22150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2" w:hRule="atLeast"/>
          <w:jc w:val="center"/>
        </w:trPr>
        <w:tc>
          <w:tcPr>
            <w:tcW w:w="544" w:type="dxa"/>
            <w:vMerge w:val="continue"/>
            <w:tcBorders>
              <w:left w:val="single" w:color="000000" w:sz="6" w:space="0"/>
            </w:tcBorders>
            <w:vAlign w:val="center"/>
          </w:tcPr>
          <w:p w14:paraId="4869A1DF">
            <w:pPr>
              <w:pStyle w:val="4"/>
              <w:jc w:val="center"/>
            </w:pPr>
          </w:p>
        </w:tc>
        <w:tc>
          <w:tcPr>
            <w:tcW w:w="445" w:type="dxa"/>
            <w:gridSpan w:val="2"/>
            <w:vMerge w:val="continue"/>
            <w:tcBorders>
              <w:right w:val="single" w:color="auto" w:sz="4" w:space="0"/>
            </w:tcBorders>
            <w:vAlign w:val="center"/>
          </w:tcPr>
          <w:p w14:paraId="3951B020">
            <w:pPr>
              <w:pStyle w:val="4"/>
              <w:jc w:val="center"/>
            </w:pPr>
          </w:p>
        </w:tc>
        <w:tc>
          <w:tcPr>
            <w:tcW w:w="883" w:type="dxa"/>
            <w:vMerge w:val="continue"/>
            <w:tcBorders>
              <w:left w:val="single" w:color="auto" w:sz="4" w:space="0"/>
            </w:tcBorders>
            <w:vAlign w:val="center"/>
          </w:tcPr>
          <w:p w14:paraId="776AE60F">
            <w:pPr>
              <w:pStyle w:val="4"/>
              <w:jc w:val="center"/>
            </w:pPr>
          </w:p>
        </w:tc>
        <w:tc>
          <w:tcPr>
            <w:tcW w:w="4478" w:type="dxa"/>
            <w:vMerge w:val="continue"/>
            <w:vAlign w:val="center"/>
          </w:tcPr>
          <w:p w14:paraId="38889EF8">
            <w:pPr>
              <w:pStyle w:val="4"/>
              <w:jc w:val="center"/>
            </w:pPr>
          </w:p>
        </w:tc>
        <w:tc>
          <w:tcPr>
            <w:tcW w:w="995" w:type="dxa"/>
            <w:vAlign w:val="center"/>
          </w:tcPr>
          <w:p w14:paraId="034A1FF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B9926B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2C7FC5A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2E2D370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6BD26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544" w:type="dxa"/>
            <w:vMerge w:val="restart"/>
            <w:tcBorders>
              <w:left w:val="single" w:color="000000" w:sz="6" w:space="0"/>
            </w:tcBorders>
            <w:vAlign w:val="center"/>
          </w:tcPr>
          <w:p w14:paraId="7C65C81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12.10</w:t>
            </w:r>
          </w:p>
        </w:tc>
        <w:tc>
          <w:tcPr>
            <w:tcW w:w="1328" w:type="dxa"/>
            <w:gridSpan w:val="3"/>
            <w:vMerge w:val="restart"/>
            <w:vAlign w:val="center"/>
          </w:tcPr>
          <w:p w14:paraId="317CE96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端接装置</w:t>
            </w:r>
          </w:p>
        </w:tc>
        <w:tc>
          <w:tcPr>
            <w:tcW w:w="4478" w:type="dxa"/>
            <w:vMerge w:val="restart"/>
            <w:vAlign w:val="center"/>
          </w:tcPr>
          <w:p w14:paraId="66E7804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a)自锁楔形端接装置应安全可靠，其锁紧螺母均应安装有锁紧销，且不应出现下列情况之一：</w:t>
            </w:r>
          </w:p>
          <w:p w14:paraId="08301A8F">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1)锥套、楔形套、楔块或拉杆出现裂纹</w:t>
            </w:r>
          </w:p>
          <w:p w14:paraId="2471BE97">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2)楔形套无法锁紧或固定</w:t>
            </w:r>
          </w:p>
          <w:p w14:paraId="4A7F1BF5">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3)螺纹失效</w:t>
            </w:r>
          </w:p>
          <w:p w14:paraId="32F6EC0D">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4)弹簧出现断裂、永久变形或压并圈</w:t>
            </w:r>
          </w:p>
          <w:p w14:paraId="24E9FA35">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5)严重锈蚀</w:t>
            </w:r>
          </w:p>
          <w:p w14:paraId="247FD804">
            <w:pPr>
              <w:pStyle w:val="4"/>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6)复合材料弹性部件老化、开裂</w:t>
            </w:r>
          </w:p>
          <w:p w14:paraId="171639E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b)采用其他类型悬挂装置的，其端部固定应符合 制造单位的规定</w:t>
            </w:r>
          </w:p>
        </w:tc>
        <w:tc>
          <w:tcPr>
            <w:tcW w:w="995" w:type="dxa"/>
            <w:vAlign w:val="center"/>
          </w:tcPr>
          <w:p w14:paraId="0B81AB2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66504BF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35B9EDF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221EC32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CF7C1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544" w:type="dxa"/>
            <w:vMerge w:val="continue"/>
            <w:tcBorders>
              <w:left w:val="single" w:color="000000" w:sz="6" w:space="0"/>
            </w:tcBorders>
            <w:vAlign w:val="center"/>
          </w:tcPr>
          <w:p w14:paraId="2CAEDD68">
            <w:pPr>
              <w:pStyle w:val="4"/>
              <w:jc w:val="center"/>
            </w:pPr>
          </w:p>
        </w:tc>
        <w:tc>
          <w:tcPr>
            <w:tcW w:w="1328" w:type="dxa"/>
            <w:gridSpan w:val="3"/>
            <w:vMerge w:val="continue"/>
            <w:vAlign w:val="center"/>
          </w:tcPr>
          <w:p w14:paraId="50445B0E">
            <w:pPr>
              <w:pStyle w:val="4"/>
              <w:jc w:val="center"/>
            </w:pPr>
          </w:p>
        </w:tc>
        <w:tc>
          <w:tcPr>
            <w:tcW w:w="4478" w:type="dxa"/>
            <w:vMerge w:val="continue"/>
            <w:vAlign w:val="center"/>
          </w:tcPr>
          <w:p w14:paraId="37C83AAF">
            <w:pPr>
              <w:pStyle w:val="4"/>
              <w:jc w:val="center"/>
            </w:pPr>
          </w:p>
        </w:tc>
        <w:tc>
          <w:tcPr>
            <w:tcW w:w="995" w:type="dxa"/>
            <w:vAlign w:val="center"/>
          </w:tcPr>
          <w:p w14:paraId="4EC2F61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10F430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3DD9C03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7DFC0C5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2A000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restart"/>
            <w:tcBorders>
              <w:left w:val="single" w:color="000000" w:sz="6" w:space="0"/>
            </w:tcBorders>
            <w:vAlign w:val="center"/>
          </w:tcPr>
          <w:p w14:paraId="1B20237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13.7</w:t>
            </w:r>
          </w:p>
        </w:tc>
        <w:tc>
          <w:tcPr>
            <w:tcW w:w="1328" w:type="dxa"/>
            <w:gridSpan w:val="3"/>
            <w:vMerge w:val="restart"/>
            <w:vAlign w:val="center"/>
          </w:tcPr>
          <w:p w14:paraId="07DED7E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轿架</w:t>
            </w:r>
          </w:p>
        </w:tc>
        <w:tc>
          <w:tcPr>
            <w:tcW w:w="4478" w:type="dxa"/>
            <w:vMerge w:val="restart"/>
            <w:vAlign w:val="center"/>
          </w:tcPr>
          <w:p w14:paraId="66D3E14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轿架不应出现下列情况之一：</w:t>
            </w:r>
          </w:p>
          <w:p w14:paraId="3CC7351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a)轿架变形导致轿底倾斜大于其正常位置5%</w:t>
            </w:r>
          </w:p>
          <w:p w14:paraId="7302659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b)轿架严重变形，导致导靴或安全钳不能正常工作</w:t>
            </w:r>
          </w:p>
          <w:p w14:paraId="36D18C5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c)轿架出现脱焊或材料开裂，影响电梯安全运行</w:t>
            </w:r>
          </w:p>
          <w:p w14:paraId="383B6EB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d)轿架严重腐蚀，主要受力构件断面壁厚腐蚀达设计厚度的10%</w:t>
            </w:r>
          </w:p>
        </w:tc>
        <w:tc>
          <w:tcPr>
            <w:tcW w:w="995" w:type="dxa"/>
            <w:vAlign w:val="center"/>
          </w:tcPr>
          <w:p w14:paraId="7889B47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33B98C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1E31DC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8F5AF7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6528D5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continue"/>
            <w:tcBorders>
              <w:left w:val="single" w:color="000000" w:sz="6" w:space="0"/>
            </w:tcBorders>
            <w:vAlign w:val="center"/>
          </w:tcPr>
          <w:p w14:paraId="78BC737C">
            <w:pPr>
              <w:pStyle w:val="4"/>
              <w:jc w:val="center"/>
            </w:pPr>
          </w:p>
        </w:tc>
        <w:tc>
          <w:tcPr>
            <w:tcW w:w="1328" w:type="dxa"/>
            <w:gridSpan w:val="3"/>
            <w:vMerge w:val="continue"/>
            <w:vAlign w:val="center"/>
          </w:tcPr>
          <w:p w14:paraId="79275039">
            <w:pPr>
              <w:pStyle w:val="4"/>
              <w:jc w:val="center"/>
            </w:pPr>
          </w:p>
        </w:tc>
        <w:tc>
          <w:tcPr>
            <w:tcW w:w="4478" w:type="dxa"/>
            <w:vMerge w:val="continue"/>
            <w:vAlign w:val="center"/>
          </w:tcPr>
          <w:p w14:paraId="55E55060">
            <w:pPr>
              <w:pStyle w:val="4"/>
              <w:jc w:val="center"/>
            </w:pPr>
          </w:p>
        </w:tc>
        <w:tc>
          <w:tcPr>
            <w:tcW w:w="995" w:type="dxa"/>
            <w:vAlign w:val="center"/>
          </w:tcPr>
          <w:p w14:paraId="5671E14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147334B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4045AD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45782A0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749EF9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1" w:hRule="atLeast"/>
          <w:jc w:val="center"/>
        </w:trPr>
        <w:tc>
          <w:tcPr>
            <w:tcW w:w="544" w:type="dxa"/>
            <w:vMerge w:val="restart"/>
            <w:tcBorders>
              <w:left w:val="single" w:color="000000" w:sz="6" w:space="0"/>
            </w:tcBorders>
            <w:vAlign w:val="center"/>
          </w:tcPr>
          <w:p w14:paraId="7FAA217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13.8</w:t>
            </w:r>
          </w:p>
        </w:tc>
        <w:tc>
          <w:tcPr>
            <w:tcW w:w="1328" w:type="dxa"/>
            <w:gridSpan w:val="3"/>
            <w:vMerge w:val="restart"/>
            <w:vAlign w:val="center"/>
          </w:tcPr>
          <w:p w14:paraId="1DC1AE6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轿壁、轿顶和轿底</w:t>
            </w:r>
          </w:p>
        </w:tc>
        <w:tc>
          <w:tcPr>
            <w:tcW w:w="4478" w:type="dxa"/>
            <w:vMerge w:val="restart"/>
            <w:vAlign w:val="center"/>
          </w:tcPr>
          <w:p w14:paraId="4914565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轿壁、轿顶和轿底不应出现下列情况之一：</w:t>
            </w:r>
          </w:p>
          <w:p w14:paraId="1B5D805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a)轿壁、轿顶严重锈蚀穿孔或破损穿孔，孔的直径大于10mm</w:t>
            </w:r>
          </w:p>
          <w:p w14:paraId="7365F03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b)轿壁、轿顶严重变形或破损，加强筋脱落</w:t>
            </w:r>
          </w:p>
          <w:p w14:paraId="605BB4D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c)轿壁的强度不符合GB/T 7588.1—2020中5.4. 3.2.2的要求</w:t>
            </w:r>
          </w:p>
          <w:p w14:paraId="7514A3B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d)轿底严重变形、开裂、锈蚀或穿孔</w:t>
            </w:r>
          </w:p>
          <w:p w14:paraId="460193B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e)玻璃轿壁、轿顶出现裂纹</w:t>
            </w:r>
          </w:p>
          <w:p w14:paraId="742FAB9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f)轿厢吊顶装饰固定不良，存在掉落风险</w:t>
            </w:r>
          </w:p>
        </w:tc>
        <w:tc>
          <w:tcPr>
            <w:tcW w:w="995" w:type="dxa"/>
            <w:vAlign w:val="center"/>
          </w:tcPr>
          <w:p w14:paraId="623BD0C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D61FEB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A8AB79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621349A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AF280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1" w:hRule="atLeast"/>
          <w:jc w:val="center"/>
        </w:trPr>
        <w:tc>
          <w:tcPr>
            <w:tcW w:w="544" w:type="dxa"/>
            <w:vMerge w:val="continue"/>
            <w:tcBorders>
              <w:left w:val="single" w:color="000000" w:sz="6" w:space="0"/>
            </w:tcBorders>
            <w:vAlign w:val="center"/>
          </w:tcPr>
          <w:p w14:paraId="08F3CA3E">
            <w:pPr>
              <w:pStyle w:val="4"/>
              <w:jc w:val="center"/>
            </w:pPr>
          </w:p>
        </w:tc>
        <w:tc>
          <w:tcPr>
            <w:tcW w:w="1328" w:type="dxa"/>
            <w:gridSpan w:val="3"/>
            <w:vMerge w:val="continue"/>
            <w:vAlign w:val="center"/>
          </w:tcPr>
          <w:p w14:paraId="555C4108">
            <w:pPr>
              <w:pStyle w:val="4"/>
              <w:jc w:val="center"/>
            </w:pPr>
          </w:p>
        </w:tc>
        <w:tc>
          <w:tcPr>
            <w:tcW w:w="4478" w:type="dxa"/>
            <w:vMerge w:val="continue"/>
            <w:vAlign w:val="center"/>
          </w:tcPr>
          <w:p w14:paraId="0BD5ADFB">
            <w:pPr>
              <w:pStyle w:val="4"/>
              <w:jc w:val="center"/>
            </w:pPr>
          </w:p>
        </w:tc>
        <w:tc>
          <w:tcPr>
            <w:tcW w:w="995" w:type="dxa"/>
            <w:vAlign w:val="center"/>
          </w:tcPr>
          <w:p w14:paraId="3929D98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C9F9FF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4F9536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35A3E90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57FF55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2" w:hRule="atLeast"/>
          <w:jc w:val="center"/>
        </w:trPr>
        <w:tc>
          <w:tcPr>
            <w:tcW w:w="544" w:type="dxa"/>
            <w:vMerge w:val="restart"/>
            <w:tcBorders>
              <w:left w:val="single" w:color="000000" w:sz="6" w:space="0"/>
            </w:tcBorders>
            <w:vAlign w:val="center"/>
          </w:tcPr>
          <w:p w14:paraId="3C194D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14.2</w:t>
            </w:r>
          </w:p>
        </w:tc>
        <w:tc>
          <w:tcPr>
            <w:tcW w:w="1328" w:type="dxa"/>
            <w:gridSpan w:val="3"/>
            <w:vMerge w:val="restart"/>
            <w:vAlign w:val="center"/>
          </w:tcPr>
          <w:p w14:paraId="7C4004A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缓冲器固定</w:t>
            </w:r>
          </w:p>
        </w:tc>
        <w:tc>
          <w:tcPr>
            <w:tcW w:w="4478" w:type="dxa"/>
            <w:vMerge w:val="restart"/>
            <w:vAlign w:val="center"/>
          </w:tcPr>
          <w:p w14:paraId="27ACD903">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缓冲器应固定可靠、无明显倾斜</w:t>
            </w:r>
          </w:p>
        </w:tc>
        <w:tc>
          <w:tcPr>
            <w:tcW w:w="995" w:type="dxa"/>
            <w:vAlign w:val="center"/>
          </w:tcPr>
          <w:p w14:paraId="47239BD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F703A2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2A6D45B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35D7144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000E1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6" w:hRule="atLeast"/>
          <w:jc w:val="center"/>
        </w:trPr>
        <w:tc>
          <w:tcPr>
            <w:tcW w:w="544" w:type="dxa"/>
            <w:vMerge w:val="continue"/>
            <w:tcBorders>
              <w:left w:val="single" w:color="000000" w:sz="6" w:space="0"/>
            </w:tcBorders>
            <w:vAlign w:val="center"/>
          </w:tcPr>
          <w:p w14:paraId="4DD7771A">
            <w:pPr>
              <w:pStyle w:val="4"/>
              <w:jc w:val="center"/>
            </w:pPr>
          </w:p>
        </w:tc>
        <w:tc>
          <w:tcPr>
            <w:tcW w:w="1328" w:type="dxa"/>
            <w:gridSpan w:val="3"/>
            <w:vMerge w:val="continue"/>
            <w:vAlign w:val="center"/>
          </w:tcPr>
          <w:p w14:paraId="19F59B2B">
            <w:pPr>
              <w:pStyle w:val="4"/>
              <w:jc w:val="center"/>
            </w:pPr>
          </w:p>
        </w:tc>
        <w:tc>
          <w:tcPr>
            <w:tcW w:w="4478" w:type="dxa"/>
            <w:vMerge w:val="continue"/>
            <w:vAlign w:val="center"/>
          </w:tcPr>
          <w:p w14:paraId="3534EFDE">
            <w:pPr>
              <w:pStyle w:val="4"/>
              <w:jc w:val="center"/>
            </w:pPr>
          </w:p>
        </w:tc>
        <w:tc>
          <w:tcPr>
            <w:tcW w:w="995" w:type="dxa"/>
            <w:vAlign w:val="center"/>
          </w:tcPr>
          <w:p w14:paraId="76A4ED5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5CD393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52F034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3AEF6FA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3426F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7" w:hRule="atLeast"/>
          <w:jc w:val="center"/>
        </w:trPr>
        <w:tc>
          <w:tcPr>
            <w:tcW w:w="544" w:type="dxa"/>
            <w:vMerge w:val="restart"/>
            <w:tcBorders>
              <w:left w:val="single" w:color="000000" w:sz="6" w:space="0"/>
            </w:tcBorders>
            <w:vAlign w:val="center"/>
          </w:tcPr>
          <w:p w14:paraId="68489D2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14.3</w:t>
            </w:r>
          </w:p>
        </w:tc>
        <w:tc>
          <w:tcPr>
            <w:tcW w:w="1328" w:type="dxa"/>
            <w:gridSpan w:val="3"/>
            <w:vMerge w:val="restart"/>
            <w:vAlign w:val="center"/>
          </w:tcPr>
          <w:p w14:paraId="6C12C4C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线性缓冲器(弹簧缓冲器)</w:t>
            </w:r>
          </w:p>
        </w:tc>
        <w:tc>
          <w:tcPr>
            <w:tcW w:w="4478" w:type="dxa"/>
            <w:vMerge w:val="restart"/>
            <w:vAlign w:val="center"/>
          </w:tcPr>
          <w:p w14:paraId="67A0E49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线性缓冲器(弹簧缓冲器)不应出现下列情况之 一：</w:t>
            </w:r>
          </w:p>
          <w:p w14:paraId="132C98A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a)弹簧严重锈蚀或出现裂纹</w:t>
            </w:r>
          </w:p>
          <w:p w14:paraId="62CAA99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b)缓冲器动作后，有影响正常工作的永久变形或损坏</w:t>
            </w:r>
          </w:p>
        </w:tc>
        <w:tc>
          <w:tcPr>
            <w:tcW w:w="995" w:type="dxa"/>
            <w:vAlign w:val="center"/>
          </w:tcPr>
          <w:p w14:paraId="768F468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7C8FC5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52A66D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293992F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06304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7" w:hRule="atLeast"/>
          <w:jc w:val="center"/>
        </w:trPr>
        <w:tc>
          <w:tcPr>
            <w:tcW w:w="544" w:type="dxa"/>
            <w:vMerge w:val="continue"/>
            <w:tcBorders>
              <w:left w:val="single" w:color="000000" w:sz="6" w:space="0"/>
            </w:tcBorders>
            <w:vAlign w:val="center"/>
          </w:tcPr>
          <w:p w14:paraId="690F91A6">
            <w:pPr>
              <w:pStyle w:val="4"/>
              <w:jc w:val="center"/>
            </w:pPr>
          </w:p>
        </w:tc>
        <w:tc>
          <w:tcPr>
            <w:tcW w:w="1328" w:type="dxa"/>
            <w:gridSpan w:val="3"/>
            <w:vMerge w:val="continue"/>
            <w:vAlign w:val="center"/>
          </w:tcPr>
          <w:p w14:paraId="21460E59">
            <w:pPr>
              <w:pStyle w:val="4"/>
              <w:jc w:val="center"/>
            </w:pPr>
          </w:p>
        </w:tc>
        <w:tc>
          <w:tcPr>
            <w:tcW w:w="4478" w:type="dxa"/>
            <w:vMerge w:val="continue"/>
            <w:vAlign w:val="center"/>
          </w:tcPr>
          <w:p w14:paraId="1E1C17C9">
            <w:pPr>
              <w:pStyle w:val="4"/>
              <w:jc w:val="center"/>
            </w:pPr>
          </w:p>
        </w:tc>
        <w:tc>
          <w:tcPr>
            <w:tcW w:w="995" w:type="dxa"/>
            <w:vAlign w:val="center"/>
          </w:tcPr>
          <w:p w14:paraId="4045979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267C74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66FD384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77B210D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406669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0" w:hRule="atLeast"/>
          <w:jc w:val="center"/>
        </w:trPr>
        <w:tc>
          <w:tcPr>
            <w:tcW w:w="544" w:type="dxa"/>
            <w:vMerge w:val="restart"/>
            <w:tcBorders>
              <w:left w:val="single" w:color="000000" w:sz="6" w:space="0"/>
            </w:tcBorders>
            <w:vAlign w:val="center"/>
          </w:tcPr>
          <w:p w14:paraId="54B18C5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14.4</w:t>
            </w:r>
          </w:p>
        </w:tc>
        <w:tc>
          <w:tcPr>
            <w:tcW w:w="1328" w:type="dxa"/>
            <w:gridSpan w:val="3"/>
            <w:vMerge w:val="restart"/>
            <w:vAlign w:val="center"/>
          </w:tcPr>
          <w:p w14:paraId="6A70BD1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非线性缓冲器</w:t>
            </w:r>
          </w:p>
        </w:tc>
        <w:tc>
          <w:tcPr>
            <w:tcW w:w="4478" w:type="dxa"/>
            <w:vMerge w:val="restart"/>
            <w:vAlign w:val="center"/>
          </w:tcPr>
          <w:p w14:paraId="034402F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非线性缓冲器不应出现下列情况之一：</w:t>
            </w:r>
          </w:p>
          <w:p w14:paraId="3D94B31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a)非金属材料出现开裂、剥落等老化现象</w:t>
            </w:r>
          </w:p>
          <w:p w14:paraId="54EFEF8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b)缓冲器动作后，有影响正常工作的永久变形或损坏</w:t>
            </w:r>
          </w:p>
        </w:tc>
        <w:tc>
          <w:tcPr>
            <w:tcW w:w="995" w:type="dxa"/>
            <w:vAlign w:val="center"/>
          </w:tcPr>
          <w:p w14:paraId="048C34B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F2F6ED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0449D11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3B47E54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71146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3" w:hRule="atLeast"/>
          <w:jc w:val="center"/>
        </w:trPr>
        <w:tc>
          <w:tcPr>
            <w:tcW w:w="544" w:type="dxa"/>
            <w:vMerge w:val="continue"/>
            <w:tcBorders>
              <w:left w:val="single" w:color="000000" w:sz="6" w:space="0"/>
            </w:tcBorders>
            <w:vAlign w:val="center"/>
          </w:tcPr>
          <w:p w14:paraId="2DA9FD25">
            <w:pPr>
              <w:pStyle w:val="4"/>
              <w:jc w:val="center"/>
            </w:pPr>
          </w:p>
        </w:tc>
        <w:tc>
          <w:tcPr>
            <w:tcW w:w="1328" w:type="dxa"/>
            <w:gridSpan w:val="3"/>
            <w:vMerge w:val="continue"/>
            <w:vAlign w:val="center"/>
          </w:tcPr>
          <w:p w14:paraId="5321502C">
            <w:pPr>
              <w:pStyle w:val="4"/>
              <w:jc w:val="center"/>
            </w:pPr>
          </w:p>
        </w:tc>
        <w:tc>
          <w:tcPr>
            <w:tcW w:w="4478" w:type="dxa"/>
            <w:vMerge w:val="continue"/>
            <w:vAlign w:val="center"/>
          </w:tcPr>
          <w:p w14:paraId="5E103FE7">
            <w:pPr>
              <w:pStyle w:val="4"/>
              <w:jc w:val="center"/>
            </w:pPr>
          </w:p>
        </w:tc>
        <w:tc>
          <w:tcPr>
            <w:tcW w:w="995" w:type="dxa"/>
            <w:vAlign w:val="center"/>
          </w:tcPr>
          <w:p w14:paraId="2FAC9B7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1CB011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598D565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678F5E9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5D939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544" w:type="dxa"/>
            <w:vMerge w:val="restart"/>
            <w:tcBorders>
              <w:left w:val="single" w:color="000000" w:sz="6" w:space="0"/>
            </w:tcBorders>
            <w:vAlign w:val="center"/>
          </w:tcPr>
          <w:p w14:paraId="4E35BD1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14.5</w:t>
            </w:r>
          </w:p>
        </w:tc>
        <w:tc>
          <w:tcPr>
            <w:tcW w:w="1328" w:type="dxa"/>
            <w:gridSpan w:val="3"/>
            <w:vMerge w:val="restart"/>
            <w:vAlign w:val="center"/>
          </w:tcPr>
          <w:p w14:paraId="648DE5D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耗能型缓冲器(液压缓冲器)</w:t>
            </w:r>
          </w:p>
        </w:tc>
        <w:tc>
          <w:tcPr>
            <w:tcW w:w="4478" w:type="dxa"/>
            <w:vMerge w:val="restart"/>
            <w:vAlign w:val="center"/>
          </w:tcPr>
          <w:p w14:paraId="3014DFC5">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耗能型缓冲器(液压缓冲器)液位应正确，便于检查，且有验证柱塞复位的电气安全装置，且不应 出现下列情况之一：</w:t>
            </w:r>
          </w:p>
          <w:p w14:paraId="014AF96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a)缸体有裂纹</w:t>
            </w:r>
          </w:p>
          <w:p w14:paraId="7A259BC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b)漏油，不能保证正常的工作液面高度</w:t>
            </w:r>
          </w:p>
          <w:p w14:paraId="4001E02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c)柱塞锈蚀，影响正常工作</w:t>
            </w:r>
          </w:p>
          <w:p w14:paraId="0C80E52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d)复位弹簧失效，缓冲器复位不符合GB/T 7588. 2—2020中5.5.3.1.6.2的要求</w:t>
            </w:r>
          </w:p>
          <w:p w14:paraId="55FF122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e)缓冲器动作后，有影响正常工作的永久变形或损坏</w:t>
            </w:r>
          </w:p>
        </w:tc>
        <w:tc>
          <w:tcPr>
            <w:tcW w:w="995" w:type="dxa"/>
            <w:vAlign w:val="center"/>
          </w:tcPr>
          <w:p w14:paraId="2087D8C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30A272D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7BB5CCF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6AF7218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495EA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544" w:type="dxa"/>
            <w:vMerge w:val="continue"/>
            <w:tcBorders>
              <w:left w:val="single" w:color="000000" w:sz="6" w:space="0"/>
            </w:tcBorders>
            <w:vAlign w:val="center"/>
          </w:tcPr>
          <w:p w14:paraId="1F031DAE">
            <w:pPr>
              <w:pStyle w:val="4"/>
              <w:jc w:val="center"/>
            </w:pPr>
          </w:p>
        </w:tc>
        <w:tc>
          <w:tcPr>
            <w:tcW w:w="1328" w:type="dxa"/>
            <w:gridSpan w:val="3"/>
            <w:vMerge w:val="continue"/>
            <w:vAlign w:val="center"/>
          </w:tcPr>
          <w:p w14:paraId="274089A1">
            <w:pPr>
              <w:pStyle w:val="4"/>
              <w:jc w:val="center"/>
            </w:pPr>
          </w:p>
        </w:tc>
        <w:tc>
          <w:tcPr>
            <w:tcW w:w="4478" w:type="dxa"/>
            <w:vMerge w:val="continue"/>
            <w:vAlign w:val="center"/>
          </w:tcPr>
          <w:p w14:paraId="38668BB4">
            <w:pPr>
              <w:pStyle w:val="4"/>
              <w:jc w:val="center"/>
            </w:pPr>
          </w:p>
        </w:tc>
        <w:tc>
          <w:tcPr>
            <w:tcW w:w="995" w:type="dxa"/>
            <w:vAlign w:val="center"/>
          </w:tcPr>
          <w:p w14:paraId="0185FB2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B67DE0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0384E0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647D366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35FBE2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jc w:val="center"/>
        </w:trPr>
        <w:tc>
          <w:tcPr>
            <w:tcW w:w="544" w:type="dxa"/>
            <w:vMerge w:val="restart"/>
            <w:tcBorders>
              <w:left w:val="single" w:color="000000" w:sz="6" w:space="0"/>
            </w:tcBorders>
            <w:vAlign w:val="center"/>
          </w:tcPr>
          <w:p w14:paraId="4F26960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14.9</w:t>
            </w:r>
          </w:p>
        </w:tc>
        <w:tc>
          <w:tcPr>
            <w:tcW w:w="1328" w:type="dxa"/>
            <w:gridSpan w:val="3"/>
            <w:vMerge w:val="restart"/>
            <w:vAlign w:val="center"/>
          </w:tcPr>
          <w:p w14:paraId="39E889D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底坑环境</w:t>
            </w:r>
          </w:p>
        </w:tc>
        <w:tc>
          <w:tcPr>
            <w:tcW w:w="4478" w:type="dxa"/>
            <w:vMerge w:val="restart"/>
            <w:vAlign w:val="center"/>
          </w:tcPr>
          <w:p w14:paraId="2C3AA6B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底坑地面应平整，不应有积水、油污和杂物</w:t>
            </w:r>
          </w:p>
        </w:tc>
        <w:tc>
          <w:tcPr>
            <w:tcW w:w="995" w:type="dxa"/>
            <w:vAlign w:val="center"/>
          </w:tcPr>
          <w:p w14:paraId="0BDCA87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42D804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2C72288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4B6F692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2C31B1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jc w:val="center"/>
        </w:trPr>
        <w:tc>
          <w:tcPr>
            <w:tcW w:w="544" w:type="dxa"/>
            <w:vMerge w:val="continue"/>
            <w:tcBorders>
              <w:left w:val="single" w:color="000000" w:sz="6" w:space="0"/>
            </w:tcBorders>
            <w:vAlign w:val="center"/>
          </w:tcPr>
          <w:p w14:paraId="3DD86256">
            <w:pPr>
              <w:pStyle w:val="4"/>
              <w:jc w:val="center"/>
            </w:pPr>
          </w:p>
        </w:tc>
        <w:tc>
          <w:tcPr>
            <w:tcW w:w="1328" w:type="dxa"/>
            <w:gridSpan w:val="3"/>
            <w:vMerge w:val="continue"/>
            <w:vAlign w:val="center"/>
          </w:tcPr>
          <w:p w14:paraId="27FE88A5">
            <w:pPr>
              <w:pStyle w:val="4"/>
              <w:jc w:val="center"/>
            </w:pPr>
          </w:p>
        </w:tc>
        <w:tc>
          <w:tcPr>
            <w:tcW w:w="4478" w:type="dxa"/>
            <w:vMerge w:val="continue"/>
            <w:vAlign w:val="center"/>
          </w:tcPr>
          <w:p w14:paraId="5D89260D">
            <w:pPr>
              <w:pStyle w:val="4"/>
              <w:jc w:val="center"/>
            </w:pPr>
          </w:p>
        </w:tc>
        <w:tc>
          <w:tcPr>
            <w:tcW w:w="995" w:type="dxa"/>
            <w:vAlign w:val="center"/>
          </w:tcPr>
          <w:p w14:paraId="3AA5468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BA33DF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5FDA46E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4A0C9E4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25D7B7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544" w:type="dxa"/>
            <w:vMerge w:val="restart"/>
            <w:tcBorders>
              <w:left w:val="single" w:color="000000" w:sz="6" w:space="0"/>
            </w:tcBorders>
            <w:vAlign w:val="center"/>
          </w:tcPr>
          <w:p w14:paraId="7DA3DFB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16.1</w:t>
            </w:r>
          </w:p>
        </w:tc>
        <w:tc>
          <w:tcPr>
            <w:tcW w:w="1328" w:type="dxa"/>
            <w:gridSpan w:val="3"/>
            <w:vMerge w:val="restart"/>
            <w:vAlign w:val="center"/>
          </w:tcPr>
          <w:p w14:paraId="73AF33A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w:t>
            </w:r>
          </w:p>
        </w:tc>
        <w:tc>
          <w:tcPr>
            <w:tcW w:w="4478" w:type="dxa"/>
            <w:vMerge w:val="restart"/>
            <w:vAlign w:val="center"/>
          </w:tcPr>
          <w:p w14:paraId="2C03C9A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控制柜不应出现下列情况之一：</w:t>
            </w:r>
          </w:p>
          <w:p w14:paraId="0D5C99C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a)控制柜柜体严重锈蚀变形、损坏，导致柜内元器件无法固定和正常使用</w:t>
            </w:r>
          </w:p>
          <w:p w14:paraId="0F245C9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b)控制柜内电气元件失效导致电梯不能正常运行，无法更换为同规格参数的元件，或更换替代元件后仍无法正常运行</w:t>
            </w:r>
          </w:p>
          <w:p w14:paraId="0BAF8A9D">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c)接线不规范不合理、标识混乱、接线柱松动</w:t>
            </w:r>
          </w:p>
          <w:p w14:paraId="43FB065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d)控制柜防护等级低于IP2X</w:t>
            </w:r>
          </w:p>
          <w:p w14:paraId="3C94FBA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b/>
                <w:bCs/>
                <w:sz w:val="21"/>
                <w:szCs w:val="21"/>
                <w:lang w:eastAsia="zh-CN"/>
              </w:rPr>
              <w:t>注：</w:t>
            </w:r>
            <w:r>
              <w:rPr>
                <w:rFonts w:hint="eastAsia" w:ascii="仿宋_GB2312" w:hAnsi="仿宋_GB2312" w:eastAsia="仿宋_GB2312" w:cs="仿宋_GB2312"/>
                <w:sz w:val="21"/>
                <w:szCs w:val="21"/>
                <w:lang w:eastAsia="zh-CN"/>
              </w:rPr>
              <w:t>包含能量回馈装置、自动救援操作装置、群控柜、轿厢控制部分。</w:t>
            </w:r>
          </w:p>
        </w:tc>
        <w:tc>
          <w:tcPr>
            <w:tcW w:w="995" w:type="dxa"/>
            <w:vAlign w:val="center"/>
          </w:tcPr>
          <w:p w14:paraId="49CDB62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873E0E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5192688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CA2755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CDA0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544" w:type="dxa"/>
            <w:vMerge w:val="continue"/>
            <w:tcBorders>
              <w:left w:val="single" w:color="000000" w:sz="6" w:space="0"/>
            </w:tcBorders>
            <w:vAlign w:val="center"/>
          </w:tcPr>
          <w:p w14:paraId="5D73DCA9">
            <w:pPr>
              <w:pStyle w:val="4"/>
              <w:jc w:val="center"/>
            </w:pPr>
          </w:p>
        </w:tc>
        <w:tc>
          <w:tcPr>
            <w:tcW w:w="1328" w:type="dxa"/>
            <w:gridSpan w:val="3"/>
            <w:vMerge w:val="continue"/>
            <w:vAlign w:val="center"/>
          </w:tcPr>
          <w:p w14:paraId="24F81466">
            <w:pPr>
              <w:pStyle w:val="4"/>
              <w:jc w:val="center"/>
            </w:pPr>
          </w:p>
        </w:tc>
        <w:tc>
          <w:tcPr>
            <w:tcW w:w="4478" w:type="dxa"/>
            <w:vMerge w:val="continue"/>
            <w:vAlign w:val="center"/>
          </w:tcPr>
          <w:p w14:paraId="1C1B7FF0">
            <w:pPr>
              <w:pStyle w:val="4"/>
              <w:jc w:val="center"/>
            </w:pPr>
          </w:p>
        </w:tc>
        <w:tc>
          <w:tcPr>
            <w:tcW w:w="995" w:type="dxa"/>
            <w:vAlign w:val="center"/>
          </w:tcPr>
          <w:p w14:paraId="17A85F2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FA7C01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A18A71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46B92EB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7546F8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restart"/>
            <w:tcBorders>
              <w:left w:val="single" w:color="000000" w:sz="6" w:space="0"/>
            </w:tcBorders>
            <w:vAlign w:val="center"/>
          </w:tcPr>
          <w:p w14:paraId="5C7D246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16.6</w:t>
            </w:r>
          </w:p>
        </w:tc>
        <w:tc>
          <w:tcPr>
            <w:tcW w:w="1328" w:type="dxa"/>
            <w:gridSpan w:val="3"/>
            <w:vMerge w:val="restart"/>
            <w:vAlign w:val="center"/>
          </w:tcPr>
          <w:p w14:paraId="3E5D0B0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安全开关</w:t>
            </w:r>
          </w:p>
        </w:tc>
        <w:tc>
          <w:tcPr>
            <w:tcW w:w="4478" w:type="dxa"/>
            <w:vMerge w:val="restart"/>
            <w:vAlign w:val="center"/>
          </w:tcPr>
          <w:p w14:paraId="007CB79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安全开关不应出现下列情况之一：</w:t>
            </w:r>
          </w:p>
          <w:p w14:paraId="3D283F2B">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a)安全开关的外壳破损，存在触电危险</w:t>
            </w:r>
          </w:p>
          <w:p w14:paraId="7FD0C19E">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b)安全开关触点严重锈蚀，影响正常运行</w:t>
            </w:r>
          </w:p>
          <w:p w14:paraId="170317D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c)安全开关触点严重烧灼或接触不良</w:t>
            </w:r>
          </w:p>
          <w:p w14:paraId="72C1CBF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d)触发安全开关的机械装置失效</w:t>
            </w:r>
          </w:p>
          <w:p w14:paraId="2A521CB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e)驱动安全触点的结构失效</w:t>
            </w:r>
          </w:p>
          <w:p w14:paraId="47504EA7">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f)被短接</w:t>
            </w:r>
          </w:p>
        </w:tc>
        <w:tc>
          <w:tcPr>
            <w:tcW w:w="995" w:type="dxa"/>
            <w:vAlign w:val="center"/>
          </w:tcPr>
          <w:p w14:paraId="04FAD02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4435153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5CB472F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472DC1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C592B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continue"/>
            <w:tcBorders>
              <w:left w:val="single" w:color="000000" w:sz="6" w:space="0"/>
            </w:tcBorders>
            <w:vAlign w:val="center"/>
          </w:tcPr>
          <w:p w14:paraId="59720A40">
            <w:pPr>
              <w:pStyle w:val="4"/>
              <w:jc w:val="center"/>
            </w:pPr>
          </w:p>
        </w:tc>
        <w:tc>
          <w:tcPr>
            <w:tcW w:w="1328" w:type="dxa"/>
            <w:gridSpan w:val="3"/>
            <w:vMerge w:val="continue"/>
            <w:vAlign w:val="center"/>
          </w:tcPr>
          <w:p w14:paraId="50440C9D">
            <w:pPr>
              <w:pStyle w:val="4"/>
              <w:jc w:val="center"/>
            </w:pPr>
          </w:p>
        </w:tc>
        <w:tc>
          <w:tcPr>
            <w:tcW w:w="4478" w:type="dxa"/>
            <w:vMerge w:val="continue"/>
            <w:vAlign w:val="center"/>
          </w:tcPr>
          <w:p w14:paraId="0377954E">
            <w:pPr>
              <w:pStyle w:val="4"/>
              <w:jc w:val="center"/>
            </w:pPr>
          </w:p>
        </w:tc>
        <w:tc>
          <w:tcPr>
            <w:tcW w:w="995" w:type="dxa"/>
            <w:vAlign w:val="center"/>
          </w:tcPr>
          <w:p w14:paraId="427B44D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AC8566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2B89D26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66A79FE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3936C8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8" w:hRule="atLeast"/>
          <w:jc w:val="center"/>
        </w:trPr>
        <w:tc>
          <w:tcPr>
            <w:tcW w:w="544" w:type="dxa"/>
            <w:vMerge w:val="restart"/>
            <w:tcBorders>
              <w:left w:val="single" w:color="000000" w:sz="6" w:space="0"/>
            </w:tcBorders>
            <w:vAlign w:val="center"/>
          </w:tcPr>
          <w:p w14:paraId="18D710A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16.8</w:t>
            </w:r>
          </w:p>
        </w:tc>
        <w:tc>
          <w:tcPr>
            <w:tcW w:w="1328" w:type="dxa"/>
            <w:gridSpan w:val="3"/>
            <w:vMerge w:val="restart"/>
            <w:vAlign w:val="center"/>
          </w:tcPr>
          <w:p w14:paraId="2CD723A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导线和电缆</w:t>
            </w:r>
          </w:p>
        </w:tc>
        <w:tc>
          <w:tcPr>
            <w:tcW w:w="4478" w:type="dxa"/>
            <w:vMerge w:val="restart"/>
            <w:vAlign w:val="center"/>
          </w:tcPr>
          <w:p w14:paraId="470171F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导线和电缆不应出现下列情况之一：</w:t>
            </w:r>
          </w:p>
          <w:p w14:paraId="5331079D">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a)护套出现开裂，导致导线外露</w:t>
            </w:r>
          </w:p>
          <w:p w14:paraId="569DE9B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b)绝缘材料发生破损、老化，导致导体外露或绝缘电阻不符合GB/T 7588.1—2020中5.10.1.3.1的要求</w:t>
            </w:r>
          </w:p>
          <w:p w14:paraId="0CEA58AC">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c)导线发生断裂或短路</w:t>
            </w:r>
          </w:p>
        </w:tc>
        <w:tc>
          <w:tcPr>
            <w:tcW w:w="995" w:type="dxa"/>
            <w:vAlign w:val="center"/>
          </w:tcPr>
          <w:p w14:paraId="70E07F8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4525EEF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5558002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3A5E66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2133F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jc w:val="center"/>
        </w:trPr>
        <w:tc>
          <w:tcPr>
            <w:tcW w:w="544" w:type="dxa"/>
            <w:vMerge w:val="continue"/>
            <w:tcBorders>
              <w:left w:val="single" w:color="000000" w:sz="6" w:space="0"/>
            </w:tcBorders>
            <w:vAlign w:val="center"/>
          </w:tcPr>
          <w:p w14:paraId="517B56E7">
            <w:pPr>
              <w:pStyle w:val="4"/>
              <w:jc w:val="center"/>
            </w:pPr>
          </w:p>
        </w:tc>
        <w:tc>
          <w:tcPr>
            <w:tcW w:w="1328" w:type="dxa"/>
            <w:gridSpan w:val="3"/>
            <w:vMerge w:val="continue"/>
            <w:vAlign w:val="center"/>
          </w:tcPr>
          <w:p w14:paraId="29C5FF4F">
            <w:pPr>
              <w:pStyle w:val="4"/>
              <w:jc w:val="center"/>
            </w:pPr>
          </w:p>
        </w:tc>
        <w:tc>
          <w:tcPr>
            <w:tcW w:w="4478" w:type="dxa"/>
            <w:vMerge w:val="continue"/>
            <w:vAlign w:val="center"/>
          </w:tcPr>
          <w:p w14:paraId="621A4065">
            <w:pPr>
              <w:pStyle w:val="4"/>
              <w:jc w:val="center"/>
            </w:pPr>
          </w:p>
        </w:tc>
        <w:tc>
          <w:tcPr>
            <w:tcW w:w="995" w:type="dxa"/>
            <w:vAlign w:val="center"/>
          </w:tcPr>
          <w:p w14:paraId="6B34D96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8ADD2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4F07DEE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3128AC3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1EBD17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5" w:hRule="atLeast"/>
          <w:jc w:val="center"/>
        </w:trPr>
        <w:tc>
          <w:tcPr>
            <w:tcW w:w="544" w:type="dxa"/>
            <w:vMerge w:val="restart"/>
            <w:tcBorders>
              <w:left w:val="single" w:color="000000" w:sz="6" w:space="0"/>
            </w:tcBorders>
            <w:vAlign w:val="center"/>
          </w:tcPr>
          <w:p w14:paraId="71A800B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16.11</w:t>
            </w:r>
          </w:p>
        </w:tc>
        <w:tc>
          <w:tcPr>
            <w:tcW w:w="1328" w:type="dxa"/>
            <w:gridSpan w:val="3"/>
            <w:vMerge w:val="restart"/>
            <w:vAlign w:val="center"/>
          </w:tcPr>
          <w:p w14:paraId="60F5D41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层门和轿门旁路装置</w:t>
            </w:r>
          </w:p>
        </w:tc>
        <w:tc>
          <w:tcPr>
            <w:tcW w:w="4478" w:type="dxa"/>
            <w:vMerge w:val="restart"/>
            <w:vAlign w:val="center"/>
          </w:tcPr>
          <w:p w14:paraId="054A74C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层门和轿门旁路装置应符合GB/T 7588.1—2020中5.12.1.8的要求</w:t>
            </w:r>
          </w:p>
        </w:tc>
        <w:tc>
          <w:tcPr>
            <w:tcW w:w="995" w:type="dxa"/>
            <w:vAlign w:val="center"/>
          </w:tcPr>
          <w:p w14:paraId="36DA691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04F8DD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D4738D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5CA4DA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7630D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6" w:hRule="atLeast"/>
          <w:jc w:val="center"/>
        </w:trPr>
        <w:tc>
          <w:tcPr>
            <w:tcW w:w="544" w:type="dxa"/>
            <w:vMerge w:val="continue"/>
            <w:tcBorders>
              <w:left w:val="single" w:color="000000" w:sz="6" w:space="0"/>
            </w:tcBorders>
            <w:vAlign w:val="center"/>
          </w:tcPr>
          <w:p w14:paraId="280CE3FD">
            <w:pPr>
              <w:pStyle w:val="4"/>
              <w:jc w:val="center"/>
            </w:pPr>
          </w:p>
        </w:tc>
        <w:tc>
          <w:tcPr>
            <w:tcW w:w="1328" w:type="dxa"/>
            <w:gridSpan w:val="3"/>
            <w:vMerge w:val="continue"/>
            <w:vAlign w:val="center"/>
          </w:tcPr>
          <w:p w14:paraId="21E698E1">
            <w:pPr>
              <w:pStyle w:val="4"/>
              <w:jc w:val="center"/>
            </w:pPr>
          </w:p>
        </w:tc>
        <w:tc>
          <w:tcPr>
            <w:tcW w:w="4478" w:type="dxa"/>
            <w:vMerge w:val="continue"/>
            <w:vAlign w:val="center"/>
          </w:tcPr>
          <w:p w14:paraId="58CB6CC6">
            <w:pPr>
              <w:pStyle w:val="4"/>
              <w:jc w:val="center"/>
            </w:pPr>
          </w:p>
        </w:tc>
        <w:tc>
          <w:tcPr>
            <w:tcW w:w="995" w:type="dxa"/>
            <w:vAlign w:val="center"/>
          </w:tcPr>
          <w:p w14:paraId="3B03D2E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6DFA1CE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7E55486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62BF273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76FC91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0" w:hRule="atLeast"/>
          <w:jc w:val="center"/>
        </w:trPr>
        <w:tc>
          <w:tcPr>
            <w:tcW w:w="544" w:type="dxa"/>
            <w:vMerge w:val="restart"/>
            <w:tcBorders>
              <w:left w:val="single" w:color="000000" w:sz="6" w:space="0"/>
            </w:tcBorders>
            <w:vAlign w:val="center"/>
          </w:tcPr>
          <w:p w14:paraId="47AF9FE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16.12</w:t>
            </w:r>
          </w:p>
        </w:tc>
        <w:tc>
          <w:tcPr>
            <w:tcW w:w="1328" w:type="dxa"/>
            <w:gridSpan w:val="3"/>
            <w:vMerge w:val="restart"/>
            <w:vAlign w:val="center"/>
          </w:tcPr>
          <w:p w14:paraId="6ECDEF5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门回路监测功能</w:t>
            </w:r>
          </w:p>
        </w:tc>
        <w:tc>
          <w:tcPr>
            <w:tcW w:w="4478" w:type="dxa"/>
            <w:vMerge w:val="restart"/>
            <w:vAlign w:val="center"/>
          </w:tcPr>
          <w:p w14:paraId="5AA7863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门触点故障时应防止电梯正常运行，即应符合GB/T 7588.1—2020中5.12.1.9的要求</w:t>
            </w:r>
          </w:p>
        </w:tc>
        <w:tc>
          <w:tcPr>
            <w:tcW w:w="995" w:type="dxa"/>
            <w:vAlign w:val="center"/>
          </w:tcPr>
          <w:p w14:paraId="66F078D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876147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ACFD7E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2B2BC8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E20D1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7" w:hRule="atLeast"/>
          <w:jc w:val="center"/>
        </w:trPr>
        <w:tc>
          <w:tcPr>
            <w:tcW w:w="544" w:type="dxa"/>
            <w:vMerge w:val="continue"/>
            <w:tcBorders>
              <w:left w:val="single" w:color="000000" w:sz="6" w:space="0"/>
            </w:tcBorders>
            <w:vAlign w:val="center"/>
          </w:tcPr>
          <w:p w14:paraId="2039267C">
            <w:pPr>
              <w:pStyle w:val="4"/>
              <w:jc w:val="center"/>
            </w:pPr>
          </w:p>
        </w:tc>
        <w:tc>
          <w:tcPr>
            <w:tcW w:w="1328" w:type="dxa"/>
            <w:gridSpan w:val="3"/>
            <w:vMerge w:val="continue"/>
            <w:vAlign w:val="center"/>
          </w:tcPr>
          <w:p w14:paraId="6C6E405D">
            <w:pPr>
              <w:pStyle w:val="4"/>
              <w:jc w:val="center"/>
            </w:pPr>
          </w:p>
        </w:tc>
        <w:tc>
          <w:tcPr>
            <w:tcW w:w="4478" w:type="dxa"/>
            <w:vMerge w:val="continue"/>
            <w:vAlign w:val="center"/>
          </w:tcPr>
          <w:p w14:paraId="32896657">
            <w:pPr>
              <w:pStyle w:val="4"/>
              <w:jc w:val="center"/>
            </w:pPr>
          </w:p>
        </w:tc>
        <w:tc>
          <w:tcPr>
            <w:tcW w:w="995" w:type="dxa"/>
            <w:vAlign w:val="center"/>
          </w:tcPr>
          <w:p w14:paraId="3C557B6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EBB5FA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F6D51F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1721D90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0C8BB2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3" w:hRule="atLeast"/>
          <w:jc w:val="center"/>
        </w:trPr>
        <w:tc>
          <w:tcPr>
            <w:tcW w:w="544" w:type="dxa"/>
            <w:vMerge w:val="restart"/>
            <w:tcBorders>
              <w:left w:val="single" w:color="000000" w:sz="6" w:space="0"/>
            </w:tcBorders>
            <w:vAlign w:val="center"/>
          </w:tcPr>
          <w:p w14:paraId="7583348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17.1</w:t>
            </w:r>
          </w:p>
        </w:tc>
        <w:tc>
          <w:tcPr>
            <w:tcW w:w="1328" w:type="dxa"/>
            <w:gridSpan w:val="3"/>
            <w:vMerge w:val="restart"/>
            <w:vAlign w:val="center"/>
          </w:tcPr>
          <w:p w14:paraId="595E909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平衡系数试验</w:t>
            </w:r>
          </w:p>
        </w:tc>
        <w:tc>
          <w:tcPr>
            <w:tcW w:w="4478" w:type="dxa"/>
            <w:vMerge w:val="restart"/>
            <w:vAlign w:val="center"/>
          </w:tcPr>
          <w:p w14:paraId="688B52C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应在0.40～0.50之间，或者符合制造(改造)单位的设计要求</w:t>
            </w:r>
          </w:p>
        </w:tc>
        <w:tc>
          <w:tcPr>
            <w:tcW w:w="995" w:type="dxa"/>
            <w:vAlign w:val="center"/>
          </w:tcPr>
          <w:p w14:paraId="19C10FA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36B2455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CAF7D9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27EF914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240947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0" w:hRule="atLeast"/>
          <w:jc w:val="center"/>
        </w:trPr>
        <w:tc>
          <w:tcPr>
            <w:tcW w:w="544" w:type="dxa"/>
            <w:vMerge w:val="continue"/>
            <w:tcBorders>
              <w:left w:val="single" w:color="000000" w:sz="6" w:space="0"/>
            </w:tcBorders>
            <w:vAlign w:val="center"/>
          </w:tcPr>
          <w:p w14:paraId="571EE9F5">
            <w:pPr>
              <w:pStyle w:val="4"/>
              <w:jc w:val="center"/>
            </w:pPr>
          </w:p>
        </w:tc>
        <w:tc>
          <w:tcPr>
            <w:tcW w:w="1328" w:type="dxa"/>
            <w:gridSpan w:val="3"/>
            <w:vMerge w:val="continue"/>
            <w:vAlign w:val="center"/>
          </w:tcPr>
          <w:p w14:paraId="7EA9B243">
            <w:pPr>
              <w:pStyle w:val="4"/>
              <w:jc w:val="center"/>
            </w:pPr>
          </w:p>
        </w:tc>
        <w:tc>
          <w:tcPr>
            <w:tcW w:w="4478" w:type="dxa"/>
            <w:vMerge w:val="continue"/>
            <w:vAlign w:val="center"/>
          </w:tcPr>
          <w:p w14:paraId="6D2F93C0">
            <w:pPr>
              <w:pStyle w:val="4"/>
              <w:jc w:val="center"/>
            </w:pPr>
          </w:p>
        </w:tc>
        <w:tc>
          <w:tcPr>
            <w:tcW w:w="995" w:type="dxa"/>
            <w:vAlign w:val="center"/>
          </w:tcPr>
          <w:p w14:paraId="40418B3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696008F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FAD469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4D66ED5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3F5B4F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0" w:hRule="atLeast"/>
          <w:jc w:val="center"/>
        </w:trPr>
        <w:tc>
          <w:tcPr>
            <w:tcW w:w="544" w:type="dxa"/>
            <w:vMerge w:val="restart"/>
            <w:tcBorders>
              <w:left w:val="single" w:color="000000" w:sz="6" w:space="0"/>
            </w:tcBorders>
            <w:vAlign w:val="center"/>
          </w:tcPr>
          <w:p w14:paraId="4F59F21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17.2</w:t>
            </w:r>
          </w:p>
        </w:tc>
        <w:tc>
          <w:tcPr>
            <w:tcW w:w="1328" w:type="dxa"/>
            <w:gridSpan w:val="3"/>
            <w:vMerge w:val="restart"/>
            <w:vAlign w:val="center"/>
          </w:tcPr>
          <w:p w14:paraId="478A665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轿厢上行超速保护装置试验</w:t>
            </w:r>
          </w:p>
        </w:tc>
        <w:tc>
          <w:tcPr>
            <w:tcW w:w="4478" w:type="dxa"/>
            <w:vMerge w:val="restart"/>
            <w:vAlign w:val="center"/>
          </w:tcPr>
          <w:p w14:paraId="064AD2D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当轿厢上行速度失控时，轿厢上行超速保护装置 应动作，使轿厢制停或者至少使其速度降低至对重缓冲器的设计范围；该装置动作时，应使一个电气安全装置动作</w:t>
            </w:r>
          </w:p>
        </w:tc>
        <w:tc>
          <w:tcPr>
            <w:tcW w:w="995" w:type="dxa"/>
            <w:vAlign w:val="center"/>
          </w:tcPr>
          <w:p w14:paraId="5A8BD93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043A7F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06AE71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7E0273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5602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9" w:hRule="atLeast"/>
          <w:jc w:val="center"/>
        </w:trPr>
        <w:tc>
          <w:tcPr>
            <w:tcW w:w="544" w:type="dxa"/>
            <w:vMerge w:val="continue"/>
            <w:tcBorders>
              <w:left w:val="single" w:color="000000" w:sz="6" w:space="0"/>
            </w:tcBorders>
            <w:vAlign w:val="center"/>
          </w:tcPr>
          <w:p w14:paraId="0AFCD36E">
            <w:pPr>
              <w:pStyle w:val="4"/>
              <w:jc w:val="center"/>
            </w:pPr>
          </w:p>
        </w:tc>
        <w:tc>
          <w:tcPr>
            <w:tcW w:w="1328" w:type="dxa"/>
            <w:gridSpan w:val="3"/>
            <w:vMerge w:val="continue"/>
            <w:vAlign w:val="center"/>
          </w:tcPr>
          <w:p w14:paraId="30183824">
            <w:pPr>
              <w:pStyle w:val="4"/>
              <w:jc w:val="center"/>
            </w:pPr>
          </w:p>
        </w:tc>
        <w:tc>
          <w:tcPr>
            <w:tcW w:w="4478" w:type="dxa"/>
            <w:vMerge w:val="continue"/>
            <w:vAlign w:val="center"/>
          </w:tcPr>
          <w:p w14:paraId="78769051">
            <w:pPr>
              <w:pStyle w:val="4"/>
              <w:jc w:val="center"/>
            </w:pPr>
          </w:p>
        </w:tc>
        <w:tc>
          <w:tcPr>
            <w:tcW w:w="995" w:type="dxa"/>
            <w:vAlign w:val="center"/>
          </w:tcPr>
          <w:p w14:paraId="6BE7ECF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68F805D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2D8D9F4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0CD837B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6167C5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jc w:val="center"/>
        </w:trPr>
        <w:tc>
          <w:tcPr>
            <w:tcW w:w="544" w:type="dxa"/>
            <w:vMerge w:val="restart"/>
            <w:tcBorders>
              <w:left w:val="single" w:color="000000" w:sz="6" w:space="0"/>
            </w:tcBorders>
            <w:vAlign w:val="center"/>
          </w:tcPr>
          <w:p w14:paraId="5D73340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17.3</w:t>
            </w:r>
          </w:p>
        </w:tc>
        <w:tc>
          <w:tcPr>
            <w:tcW w:w="1328" w:type="dxa"/>
            <w:gridSpan w:val="3"/>
            <w:vMerge w:val="restart"/>
            <w:vAlign w:val="center"/>
          </w:tcPr>
          <w:p w14:paraId="6BBBC86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轿厢意外移动保护装置试验</w:t>
            </w:r>
          </w:p>
        </w:tc>
        <w:tc>
          <w:tcPr>
            <w:tcW w:w="4478" w:type="dxa"/>
            <w:vMerge w:val="restart"/>
            <w:vAlign w:val="center"/>
          </w:tcPr>
          <w:p w14:paraId="7D312B3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a)轿厢在井道上部空载，以型式试验证书所给出的试验速度上行并触发制停部件，仅使用制停部件能够使电梯停止，轿厢的移动距离在型式试验证书给出的范围内</w:t>
            </w:r>
          </w:p>
          <w:p w14:paraId="4D952749">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b)如果电梯采用内部冗余的驱动主机制动器作为制停部件，则当制动器机械装置提起(或者释放)失效，或者制动力不足时，应关闭轿门和层门，并且防止电梯的正常启动</w:t>
            </w:r>
          </w:p>
        </w:tc>
        <w:tc>
          <w:tcPr>
            <w:tcW w:w="995" w:type="dxa"/>
            <w:vAlign w:val="center"/>
          </w:tcPr>
          <w:p w14:paraId="5DDE17B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0528FC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B921D1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5441600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6B9D6C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jc w:val="center"/>
        </w:trPr>
        <w:tc>
          <w:tcPr>
            <w:tcW w:w="544" w:type="dxa"/>
            <w:vMerge w:val="continue"/>
            <w:tcBorders>
              <w:left w:val="single" w:color="000000" w:sz="6" w:space="0"/>
            </w:tcBorders>
            <w:vAlign w:val="center"/>
          </w:tcPr>
          <w:p w14:paraId="0BC52659">
            <w:pPr>
              <w:pStyle w:val="4"/>
              <w:jc w:val="center"/>
            </w:pPr>
          </w:p>
        </w:tc>
        <w:tc>
          <w:tcPr>
            <w:tcW w:w="1328" w:type="dxa"/>
            <w:gridSpan w:val="3"/>
            <w:vMerge w:val="continue"/>
            <w:vAlign w:val="center"/>
          </w:tcPr>
          <w:p w14:paraId="3AC7E779">
            <w:pPr>
              <w:pStyle w:val="4"/>
              <w:jc w:val="center"/>
            </w:pPr>
          </w:p>
        </w:tc>
        <w:tc>
          <w:tcPr>
            <w:tcW w:w="4478" w:type="dxa"/>
            <w:vMerge w:val="continue"/>
            <w:vAlign w:val="center"/>
          </w:tcPr>
          <w:p w14:paraId="034F4071">
            <w:pPr>
              <w:pStyle w:val="4"/>
              <w:jc w:val="center"/>
            </w:pPr>
          </w:p>
        </w:tc>
        <w:tc>
          <w:tcPr>
            <w:tcW w:w="995" w:type="dxa"/>
            <w:vAlign w:val="center"/>
          </w:tcPr>
          <w:p w14:paraId="1429A37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2E93D7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44A29A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0C4BCE3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2DB49B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743" w:hRule="atLeast"/>
          <w:jc w:val="center"/>
        </w:trPr>
        <w:tc>
          <w:tcPr>
            <w:tcW w:w="544" w:type="dxa"/>
            <w:vMerge w:val="restart"/>
            <w:tcBorders>
              <w:left w:val="single" w:color="000000" w:sz="6" w:space="0"/>
            </w:tcBorders>
            <w:vAlign w:val="center"/>
          </w:tcPr>
          <w:p w14:paraId="2482D21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17.4</w:t>
            </w:r>
          </w:p>
        </w:tc>
        <w:tc>
          <w:tcPr>
            <w:tcW w:w="1328" w:type="dxa"/>
            <w:gridSpan w:val="3"/>
            <w:vMerge w:val="restart"/>
            <w:vAlign w:val="center"/>
          </w:tcPr>
          <w:p w14:paraId="50E3C6C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限速器-安全钳(包括轿厢和对重或平衡重)联动试验</w:t>
            </w:r>
          </w:p>
        </w:tc>
        <w:tc>
          <w:tcPr>
            <w:tcW w:w="4478" w:type="dxa"/>
            <w:vMerge w:val="restart"/>
            <w:vAlign w:val="center"/>
          </w:tcPr>
          <w:p w14:paraId="106C359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轿厢空载，以检修速度进行限速器—安全钳联动试验，限速器、安全钳动作应可靠</w:t>
            </w:r>
          </w:p>
        </w:tc>
        <w:tc>
          <w:tcPr>
            <w:tcW w:w="995" w:type="dxa"/>
            <w:vAlign w:val="center"/>
          </w:tcPr>
          <w:p w14:paraId="7BFD8E4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B78B4E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3ED44D9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4506F8F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7A0B60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8" w:hRule="atLeast"/>
          <w:jc w:val="center"/>
        </w:trPr>
        <w:tc>
          <w:tcPr>
            <w:tcW w:w="544" w:type="dxa"/>
            <w:vMerge w:val="continue"/>
            <w:tcBorders>
              <w:left w:val="single" w:color="000000" w:sz="6" w:space="0"/>
            </w:tcBorders>
            <w:vAlign w:val="center"/>
          </w:tcPr>
          <w:p w14:paraId="5DBA99ED">
            <w:pPr>
              <w:pStyle w:val="4"/>
              <w:jc w:val="center"/>
            </w:pPr>
          </w:p>
        </w:tc>
        <w:tc>
          <w:tcPr>
            <w:tcW w:w="1328" w:type="dxa"/>
            <w:gridSpan w:val="3"/>
            <w:vMerge w:val="continue"/>
            <w:vAlign w:val="center"/>
          </w:tcPr>
          <w:p w14:paraId="28E7723D">
            <w:pPr>
              <w:pStyle w:val="4"/>
              <w:jc w:val="center"/>
            </w:pPr>
          </w:p>
        </w:tc>
        <w:tc>
          <w:tcPr>
            <w:tcW w:w="4478" w:type="dxa"/>
            <w:vMerge w:val="continue"/>
            <w:vAlign w:val="center"/>
          </w:tcPr>
          <w:p w14:paraId="580E01F8">
            <w:pPr>
              <w:pStyle w:val="4"/>
              <w:jc w:val="center"/>
            </w:pPr>
          </w:p>
        </w:tc>
        <w:tc>
          <w:tcPr>
            <w:tcW w:w="995" w:type="dxa"/>
            <w:vAlign w:val="center"/>
          </w:tcPr>
          <w:p w14:paraId="5176983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0DA22FF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231C13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w:t>
            </w:r>
          </w:p>
        </w:tc>
        <w:tc>
          <w:tcPr>
            <w:tcW w:w="629" w:type="dxa"/>
            <w:tcBorders>
              <w:right w:val="single" w:color="000000" w:sz="6" w:space="0"/>
            </w:tcBorders>
            <w:vAlign w:val="center"/>
          </w:tcPr>
          <w:p w14:paraId="65A3A30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590A1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restart"/>
            <w:tcBorders>
              <w:left w:val="single" w:color="000000" w:sz="6" w:space="0"/>
            </w:tcBorders>
            <w:vAlign w:val="center"/>
          </w:tcPr>
          <w:p w14:paraId="71EC0DB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17.5</w:t>
            </w:r>
          </w:p>
        </w:tc>
        <w:tc>
          <w:tcPr>
            <w:tcW w:w="1328" w:type="dxa"/>
            <w:gridSpan w:val="3"/>
            <w:vMerge w:val="restart"/>
            <w:vAlign w:val="center"/>
          </w:tcPr>
          <w:p w14:paraId="58A833C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运行试验</w:t>
            </w:r>
          </w:p>
        </w:tc>
        <w:tc>
          <w:tcPr>
            <w:tcW w:w="4478" w:type="dxa"/>
            <w:vMerge w:val="restart"/>
            <w:vAlign w:val="center"/>
          </w:tcPr>
          <w:p w14:paraId="18057BF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a)轿厢分别空载、满载，以正常运行速度上、下运行，呼梯、楼层显示等信号系统功能有效、指示正确、动作无误，轿厢平层良好，无异常现象发生</w:t>
            </w:r>
          </w:p>
          <w:p w14:paraId="6C282514">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b)对于设有IC卡系统的电梯，轿厢内的人员无需通过IC卡系统即可到达建筑物的出口层，并且在电梯退出正常服务时，自动退出IC卡功能</w:t>
            </w:r>
          </w:p>
        </w:tc>
        <w:tc>
          <w:tcPr>
            <w:tcW w:w="995" w:type="dxa"/>
            <w:vAlign w:val="center"/>
          </w:tcPr>
          <w:p w14:paraId="0314047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1101DF8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56E6F7C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6D8346A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68DF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continue"/>
            <w:tcBorders>
              <w:left w:val="single" w:color="000000" w:sz="6" w:space="0"/>
            </w:tcBorders>
            <w:vAlign w:val="center"/>
          </w:tcPr>
          <w:p w14:paraId="723367D2">
            <w:pPr>
              <w:pStyle w:val="4"/>
              <w:jc w:val="center"/>
            </w:pPr>
          </w:p>
        </w:tc>
        <w:tc>
          <w:tcPr>
            <w:tcW w:w="1328" w:type="dxa"/>
            <w:gridSpan w:val="3"/>
            <w:vMerge w:val="continue"/>
            <w:vAlign w:val="center"/>
          </w:tcPr>
          <w:p w14:paraId="4AC88A4D">
            <w:pPr>
              <w:pStyle w:val="4"/>
              <w:jc w:val="center"/>
            </w:pPr>
          </w:p>
        </w:tc>
        <w:tc>
          <w:tcPr>
            <w:tcW w:w="4478" w:type="dxa"/>
            <w:vMerge w:val="continue"/>
            <w:vAlign w:val="center"/>
          </w:tcPr>
          <w:p w14:paraId="1ADF50E8">
            <w:pPr>
              <w:pStyle w:val="4"/>
              <w:jc w:val="center"/>
            </w:pPr>
          </w:p>
        </w:tc>
        <w:tc>
          <w:tcPr>
            <w:tcW w:w="995" w:type="dxa"/>
            <w:vAlign w:val="center"/>
          </w:tcPr>
          <w:p w14:paraId="1840D10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3010A40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right w:val="single" w:color="000000" w:sz="6" w:space="0"/>
            </w:tcBorders>
            <w:vAlign w:val="center"/>
          </w:tcPr>
          <w:p w14:paraId="6C8E999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7D18CAB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0F9C9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restart"/>
            <w:tcBorders>
              <w:left w:val="single" w:color="000000" w:sz="6" w:space="0"/>
            </w:tcBorders>
            <w:vAlign w:val="center"/>
          </w:tcPr>
          <w:p w14:paraId="2D984C0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17.6</w:t>
            </w:r>
          </w:p>
        </w:tc>
        <w:tc>
          <w:tcPr>
            <w:tcW w:w="1328" w:type="dxa"/>
            <w:gridSpan w:val="3"/>
            <w:vMerge w:val="restart"/>
            <w:vAlign w:val="center"/>
          </w:tcPr>
          <w:p w14:paraId="044A4BC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应急救援试验</w:t>
            </w:r>
          </w:p>
        </w:tc>
        <w:tc>
          <w:tcPr>
            <w:tcW w:w="4478" w:type="dxa"/>
            <w:vMerge w:val="restart"/>
            <w:vAlign w:val="center"/>
          </w:tcPr>
          <w:p w14:paraId="7C365C4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a)在机房内或者紧急操作和动态测试装置上设有明晰的应急救援程序，所有救援工具齐全</w:t>
            </w:r>
          </w:p>
          <w:p w14:paraId="3FDF0DE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b)建筑物内的救援通道保持通畅，以便相关人员无阻碍地抵达实施紧急操作的位置和层站等处</w:t>
            </w:r>
          </w:p>
          <w:p w14:paraId="0877D0D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c)在各种载荷工况下，按照本条a)所述的应急救援程序实施操作，能够安全、及时地解救被困人员</w:t>
            </w:r>
          </w:p>
        </w:tc>
        <w:tc>
          <w:tcPr>
            <w:tcW w:w="995" w:type="dxa"/>
            <w:vAlign w:val="center"/>
          </w:tcPr>
          <w:p w14:paraId="3F5D1E1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61ECE3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5267D6E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1B86CF4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3BE9CE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jc w:val="center"/>
        </w:trPr>
        <w:tc>
          <w:tcPr>
            <w:tcW w:w="544" w:type="dxa"/>
            <w:vMerge w:val="continue"/>
            <w:tcBorders>
              <w:left w:val="single" w:color="000000" w:sz="6" w:space="0"/>
            </w:tcBorders>
            <w:vAlign w:val="center"/>
          </w:tcPr>
          <w:p w14:paraId="5CC892D9">
            <w:pPr>
              <w:pStyle w:val="4"/>
              <w:jc w:val="center"/>
            </w:pPr>
          </w:p>
        </w:tc>
        <w:tc>
          <w:tcPr>
            <w:tcW w:w="1328" w:type="dxa"/>
            <w:gridSpan w:val="3"/>
            <w:vMerge w:val="continue"/>
            <w:vAlign w:val="center"/>
          </w:tcPr>
          <w:p w14:paraId="6627F146">
            <w:pPr>
              <w:pStyle w:val="4"/>
              <w:jc w:val="center"/>
            </w:pPr>
          </w:p>
        </w:tc>
        <w:tc>
          <w:tcPr>
            <w:tcW w:w="4478" w:type="dxa"/>
            <w:vMerge w:val="continue"/>
            <w:vAlign w:val="center"/>
          </w:tcPr>
          <w:p w14:paraId="7DBAE267">
            <w:pPr>
              <w:pStyle w:val="4"/>
              <w:jc w:val="center"/>
            </w:pPr>
          </w:p>
        </w:tc>
        <w:tc>
          <w:tcPr>
            <w:tcW w:w="995" w:type="dxa"/>
            <w:vAlign w:val="center"/>
          </w:tcPr>
          <w:p w14:paraId="7B3B7F3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273CAF8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right w:val="single" w:color="000000" w:sz="6" w:space="0"/>
            </w:tcBorders>
            <w:vAlign w:val="center"/>
          </w:tcPr>
          <w:p w14:paraId="3AA3706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w:t>
            </w:r>
          </w:p>
        </w:tc>
        <w:tc>
          <w:tcPr>
            <w:tcW w:w="629" w:type="dxa"/>
            <w:tcBorders>
              <w:right w:val="single" w:color="000000" w:sz="6" w:space="0"/>
            </w:tcBorders>
            <w:vAlign w:val="center"/>
          </w:tcPr>
          <w:p w14:paraId="6A2DD2E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61377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7" w:hRule="atLeast"/>
          <w:jc w:val="center"/>
        </w:trPr>
        <w:tc>
          <w:tcPr>
            <w:tcW w:w="544" w:type="dxa"/>
            <w:vMerge w:val="restart"/>
            <w:tcBorders>
              <w:left w:val="single" w:color="000000" w:sz="6" w:space="0"/>
            </w:tcBorders>
            <w:vAlign w:val="center"/>
          </w:tcPr>
          <w:p w14:paraId="3B6DDBC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17.8</w:t>
            </w:r>
          </w:p>
        </w:tc>
        <w:tc>
          <w:tcPr>
            <w:tcW w:w="1328" w:type="dxa"/>
            <w:gridSpan w:val="3"/>
            <w:vMerge w:val="restart"/>
            <w:vAlign w:val="center"/>
          </w:tcPr>
          <w:p w14:paraId="41F3E83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空载曳引检查</w:t>
            </w:r>
          </w:p>
        </w:tc>
        <w:tc>
          <w:tcPr>
            <w:tcW w:w="4478" w:type="dxa"/>
            <w:vMerge w:val="restart"/>
            <w:vAlign w:val="center"/>
          </w:tcPr>
          <w:p w14:paraId="4F2BE010">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当对重压在缓冲器上而曳引机按电梯上行方向旋转时，应不能提升空载轿厢至危险位置</w:t>
            </w:r>
          </w:p>
        </w:tc>
        <w:tc>
          <w:tcPr>
            <w:tcW w:w="995" w:type="dxa"/>
            <w:vAlign w:val="center"/>
          </w:tcPr>
          <w:p w14:paraId="35F4AC4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390578B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67A7DB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F5BC0A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1406B3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3" w:hRule="atLeast"/>
          <w:jc w:val="center"/>
        </w:trPr>
        <w:tc>
          <w:tcPr>
            <w:tcW w:w="544" w:type="dxa"/>
            <w:vMerge w:val="continue"/>
            <w:tcBorders>
              <w:left w:val="single" w:color="000000" w:sz="6" w:space="0"/>
            </w:tcBorders>
            <w:vAlign w:val="center"/>
          </w:tcPr>
          <w:p w14:paraId="78D04B3B">
            <w:pPr>
              <w:pStyle w:val="4"/>
              <w:jc w:val="center"/>
            </w:pPr>
          </w:p>
        </w:tc>
        <w:tc>
          <w:tcPr>
            <w:tcW w:w="1328" w:type="dxa"/>
            <w:gridSpan w:val="3"/>
            <w:vMerge w:val="continue"/>
            <w:vAlign w:val="center"/>
          </w:tcPr>
          <w:p w14:paraId="058A420E">
            <w:pPr>
              <w:pStyle w:val="4"/>
              <w:jc w:val="center"/>
            </w:pPr>
          </w:p>
        </w:tc>
        <w:tc>
          <w:tcPr>
            <w:tcW w:w="4478" w:type="dxa"/>
            <w:vMerge w:val="continue"/>
            <w:vAlign w:val="center"/>
          </w:tcPr>
          <w:p w14:paraId="20A29D5A">
            <w:pPr>
              <w:pStyle w:val="4"/>
              <w:jc w:val="center"/>
            </w:pPr>
          </w:p>
        </w:tc>
        <w:tc>
          <w:tcPr>
            <w:tcW w:w="995" w:type="dxa"/>
            <w:vAlign w:val="center"/>
          </w:tcPr>
          <w:p w14:paraId="1309ABB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C3305A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10E70CB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24BD679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14D771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jc w:val="center"/>
        </w:trPr>
        <w:tc>
          <w:tcPr>
            <w:tcW w:w="544" w:type="dxa"/>
            <w:vMerge w:val="restart"/>
            <w:tcBorders>
              <w:left w:val="single" w:color="000000" w:sz="6" w:space="0"/>
            </w:tcBorders>
            <w:vAlign w:val="center"/>
          </w:tcPr>
          <w:p w14:paraId="2CB2FBA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17.9</w:t>
            </w:r>
          </w:p>
        </w:tc>
        <w:tc>
          <w:tcPr>
            <w:tcW w:w="1328" w:type="dxa"/>
            <w:gridSpan w:val="3"/>
            <w:vMerge w:val="restart"/>
            <w:vAlign w:val="center"/>
          </w:tcPr>
          <w:p w14:paraId="26DDE83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上行制动工况曳引检查</w:t>
            </w:r>
          </w:p>
        </w:tc>
        <w:tc>
          <w:tcPr>
            <w:tcW w:w="4478" w:type="dxa"/>
            <w:vMerge w:val="restart"/>
            <w:vAlign w:val="center"/>
          </w:tcPr>
          <w:p w14:paraId="215A14F8">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轿厢空载以正常运行速度上行至行程上部，切断电动机与制动器供电，轿厢应完全停止</w:t>
            </w:r>
          </w:p>
        </w:tc>
        <w:tc>
          <w:tcPr>
            <w:tcW w:w="995" w:type="dxa"/>
            <w:vAlign w:val="center"/>
          </w:tcPr>
          <w:p w14:paraId="3499BA5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5D8E6C1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7A7B231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42DDE40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E0B18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8" w:hRule="atLeast"/>
          <w:jc w:val="center"/>
        </w:trPr>
        <w:tc>
          <w:tcPr>
            <w:tcW w:w="544" w:type="dxa"/>
            <w:vMerge w:val="continue"/>
            <w:tcBorders>
              <w:left w:val="single" w:color="000000" w:sz="6" w:space="0"/>
            </w:tcBorders>
            <w:vAlign w:val="center"/>
          </w:tcPr>
          <w:p w14:paraId="2ED845F4">
            <w:pPr>
              <w:pStyle w:val="4"/>
              <w:jc w:val="center"/>
            </w:pPr>
          </w:p>
        </w:tc>
        <w:tc>
          <w:tcPr>
            <w:tcW w:w="1328" w:type="dxa"/>
            <w:gridSpan w:val="3"/>
            <w:vMerge w:val="continue"/>
            <w:vAlign w:val="center"/>
          </w:tcPr>
          <w:p w14:paraId="707E6AF9">
            <w:pPr>
              <w:pStyle w:val="4"/>
              <w:jc w:val="center"/>
            </w:pPr>
          </w:p>
        </w:tc>
        <w:tc>
          <w:tcPr>
            <w:tcW w:w="4478" w:type="dxa"/>
            <w:vMerge w:val="continue"/>
            <w:vAlign w:val="center"/>
          </w:tcPr>
          <w:p w14:paraId="5700BB16">
            <w:pPr>
              <w:pStyle w:val="4"/>
              <w:jc w:val="center"/>
            </w:pPr>
          </w:p>
        </w:tc>
        <w:tc>
          <w:tcPr>
            <w:tcW w:w="995" w:type="dxa"/>
            <w:vAlign w:val="center"/>
          </w:tcPr>
          <w:p w14:paraId="7133017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A4743A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525E86E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39B6C5E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2DAC41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6" w:hRule="atLeast"/>
          <w:jc w:val="center"/>
        </w:trPr>
        <w:tc>
          <w:tcPr>
            <w:tcW w:w="544" w:type="dxa"/>
            <w:vMerge w:val="restart"/>
            <w:tcBorders>
              <w:left w:val="single" w:color="000000" w:sz="6" w:space="0"/>
            </w:tcBorders>
            <w:vAlign w:val="center"/>
          </w:tcPr>
          <w:p w14:paraId="2A8B7D4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17.10</w:t>
            </w:r>
          </w:p>
        </w:tc>
        <w:tc>
          <w:tcPr>
            <w:tcW w:w="1328" w:type="dxa"/>
            <w:gridSpan w:val="3"/>
            <w:vMerge w:val="restart"/>
            <w:vAlign w:val="center"/>
          </w:tcPr>
          <w:p w14:paraId="7BC514C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下行制动工况曳引检查</w:t>
            </w:r>
          </w:p>
        </w:tc>
        <w:tc>
          <w:tcPr>
            <w:tcW w:w="4478" w:type="dxa"/>
            <w:vMerge w:val="restart"/>
            <w:vAlign w:val="center"/>
          </w:tcPr>
          <w:p w14:paraId="113906FA">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轿厢装载125%额定载重量，以正常运行速度下行至行程下部，切断电动机与制动器供电，轿厢应完全停止</w:t>
            </w:r>
          </w:p>
        </w:tc>
        <w:tc>
          <w:tcPr>
            <w:tcW w:w="995" w:type="dxa"/>
            <w:vAlign w:val="center"/>
          </w:tcPr>
          <w:p w14:paraId="3BA8C71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C31704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4AB184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FCF4ED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7060BA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6" w:hRule="atLeast"/>
          <w:jc w:val="center"/>
        </w:trPr>
        <w:tc>
          <w:tcPr>
            <w:tcW w:w="544" w:type="dxa"/>
            <w:vMerge w:val="continue"/>
            <w:tcBorders>
              <w:left w:val="single" w:color="000000" w:sz="6" w:space="0"/>
            </w:tcBorders>
            <w:vAlign w:val="center"/>
          </w:tcPr>
          <w:p w14:paraId="5CAB69E2">
            <w:pPr>
              <w:pStyle w:val="4"/>
              <w:jc w:val="center"/>
            </w:pPr>
          </w:p>
        </w:tc>
        <w:tc>
          <w:tcPr>
            <w:tcW w:w="1328" w:type="dxa"/>
            <w:gridSpan w:val="3"/>
            <w:vMerge w:val="continue"/>
            <w:vAlign w:val="center"/>
          </w:tcPr>
          <w:p w14:paraId="0806D582">
            <w:pPr>
              <w:pStyle w:val="4"/>
              <w:jc w:val="center"/>
            </w:pPr>
          </w:p>
        </w:tc>
        <w:tc>
          <w:tcPr>
            <w:tcW w:w="4478" w:type="dxa"/>
            <w:vMerge w:val="continue"/>
            <w:vAlign w:val="center"/>
          </w:tcPr>
          <w:p w14:paraId="2C6DF371">
            <w:pPr>
              <w:pStyle w:val="4"/>
              <w:jc w:val="center"/>
            </w:pPr>
          </w:p>
        </w:tc>
        <w:tc>
          <w:tcPr>
            <w:tcW w:w="995" w:type="dxa"/>
            <w:vAlign w:val="center"/>
          </w:tcPr>
          <w:p w14:paraId="3ED5700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507F482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39F5CC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3192E76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51334A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restart"/>
            <w:tcBorders>
              <w:left w:val="single" w:color="000000" w:sz="6" w:space="0"/>
            </w:tcBorders>
            <w:vAlign w:val="center"/>
          </w:tcPr>
          <w:p w14:paraId="00330F0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17.11</w:t>
            </w:r>
          </w:p>
        </w:tc>
        <w:tc>
          <w:tcPr>
            <w:tcW w:w="1328" w:type="dxa"/>
            <w:gridSpan w:val="3"/>
            <w:vMerge w:val="restart"/>
            <w:vAlign w:val="center"/>
          </w:tcPr>
          <w:p w14:paraId="483E59A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制动试验</w:t>
            </w:r>
          </w:p>
        </w:tc>
        <w:tc>
          <w:tcPr>
            <w:tcW w:w="4478" w:type="dxa"/>
            <w:vMerge w:val="restart"/>
            <w:vAlign w:val="center"/>
          </w:tcPr>
          <w:p w14:paraId="18B5D9D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轿厢装载125%额定载重量，以正常运行速度下行时，切断电动机和制动器供电，制动器应能够使驱动主机停止运转且轿厢应完全停止，试验后轿厢应无明显变形和损坏</w:t>
            </w:r>
          </w:p>
          <w:p w14:paraId="61BB067E">
            <w:pPr>
              <w:pStyle w:val="4"/>
              <w:ind w:left="653" w:leftChars="10" w:hanging="632" w:hangingChars="300"/>
              <w:jc w:val="left"/>
              <w:rPr>
                <w:rFonts w:ascii="仿宋_GB2312" w:hAnsi="仿宋_GB2312" w:eastAsia="仿宋_GB2312" w:cs="仿宋_GB2312"/>
                <w:sz w:val="21"/>
                <w:szCs w:val="21"/>
                <w:lang w:eastAsia="zh-CN"/>
              </w:rPr>
            </w:pPr>
            <w:r>
              <w:rPr>
                <w:rFonts w:hint="eastAsia" w:ascii="仿宋_GB2312" w:hAnsi="仿宋_GB2312" w:eastAsia="仿宋_GB2312" w:cs="仿宋_GB2312"/>
                <w:b/>
                <w:bCs/>
                <w:sz w:val="21"/>
                <w:szCs w:val="21"/>
                <w:lang w:eastAsia="zh-CN"/>
              </w:rPr>
              <w:t>注：</w:t>
            </w:r>
            <w:r>
              <w:rPr>
                <w:rFonts w:hint="eastAsia" w:ascii="仿宋_GB2312" w:hAnsi="仿宋_GB2312" w:eastAsia="仿宋_GB2312" w:cs="仿宋_GB2312"/>
                <w:sz w:val="21"/>
                <w:szCs w:val="21"/>
                <w:lang w:eastAsia="zh-CN"/>
              </w:rPr>
              <w:t>“制动试验”可以与“下行制动工况曳引检查”一并试验。</w:t>
            </w:r>
          </w:p>
        </w:tc>
        <w:tc>
          <w:tcPr>
            <w:tcW w:w="995" w:type="dxa"/>
            <w:vAlign w:val="center"/>
          </w:tcPr>
          <w:p w14:paraId="2334417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135DBA6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0F547B9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0AF3A98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2537D4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544" w:type="dxa"/>
            <w:vMerge w:val="continue"/>
            <w:tcBorders>
              <w:left w:val="single" w:color="000000" w:sz="6" w:space="0"/>
            </w:tcBorders>
            <w:vAlign w:val="center"/>
          </w:tcPr>
          <w:p w14:paraId="7585D3E9">
            <w:pPr>
              <w:pStyle w:val="4"/>
              <w:jc w:val="center"/>
            </w:pPr>
          </w:p>
        </w:tc>
        <w:tc>
          <w:tcPr>
            <w:tcW w:w="1328" w:type="dxa"/>
            <w:gridSpan w:val="3"/>
            <w:vMerge w:val="continue"/>
            <w:vAlign w:val="center"/>
          </w:tcPr>
          <w:p w14:paraId="27D78D41">
            <w:pPr>
              <w:pStyle w:val="4"/>
              <w:jc w:val="center"/>
            </w:pPr>
          </w:p>
        </w:tc>
        <w:tc>
          <w:tcPr>
            <w:tcW w:w="4478" w:type="dxa"/>
            <w:vMerge w:val="continue"/>
            <w:vAlign w:val="center"/>
          </w:tcPr>
          <w:p w14:paraId="2A698D6E">
            <w:pPr>
              <w:pStyle w:val="4"/>
              <w:jc w:val="center"/>
            </w:pPr>
          </w:p>
        </w:tc>
        <w:tc>
          <w:tcPr>
            <w:tcW w:w="995" w:type="dxa"/>
            <w:vAlign w:val="center"/>
          </w:tcPr>
          <w:p w14:paraId="0B71E33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4598BFC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right w:val="single" w:color="000000" w:sz="6" w:space="0"/>
            </w:tcBorders>
            <w:vAlign w:val="center"/>
          </w:tcPr>
          <w:p w14:paraId="4F302CF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7EB1F744">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r>
      <w:tr w14:paraId="0B36BF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8" w:hRule="atLeast"/>
          <w:jc w:val="center"/>
        </w:trPr>
        <w:tc>
          <w:tcPr>
            <w:tcW w:w="544" w:type="dxa"/>
            <w:vMerge w:val="restart"/>
            <w:tcBorders>
              <w:left w:val="single" w:color="000000" w:sz="6" w:space="0"/>
            </w:tcBorders>
            <w:vAlign w:val="center"/>
          </w:tcPr>
          <w:p w14:paraId="14F5FBF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18.1</w:t>
            </w:r>
          </w:p>
        </w:tc>
        <w:tc>
          <w:tcPr>
            <w:tcW w:w="1328" w:type="dxa"/>
            <w:gridSpan w:val="3"/>
            <w:vMerge w:val="restart"/>
            <w:vAlign w:val="center"/>
          </w:tcPr>
          <w:p w14:paraId="2263853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运行噪声</w:t>
            </w:r>
          </w:p>
        </w:tc>
        <w:tc>
          <w:tcPr>
            <w:tcW w:w="4478" w:type="dxa"/>
            <w:vMerge w:val="restart"/>
            <w:vAlign w:val="center"/>
          </w:tcPr>
          <w:p w14:paraId="04ED9F52">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按照GB/T 10059—2009中4.2.5规定方法所测得的乘客电梯运行中轿厢内噪声，开关门过程噪声和机房噪声应符合GB/T 10058—2009中3.3.6的要求</w:t>
            </w:r>
          </w:p>
        </w:tc>
        <w:tc>
          <w:tcPr>
            <w:tcW w:w="995" w:type="dxa"/>
            <w:vAlign w:val="center"/>
          </w:tcPr>
          <w:p w14:paraId="6B1E9B5B">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0672007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0955C65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7C5C5C7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71726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4" w:hRule="atLeast"/>
          <w:jc w:val="center"/>
        </w:trPr>
        <w:tc>
          <w:tcPr>
            <w:tcW w:w="544" w:type="dxa"/>
            <w:vMerge w:val="continue"/>
            <w:tcBorders>
              <w:left w:val="single" w:color="000000" w:sz="6" w:space="0"/>
            </w:tcBorders>
            <w:vAlign w:val="center"/>
          </w:tcPr>
          <w:p w14:paraId="4DF6B23C">
            <w:pPr>
              <w:pStyle w:val="4"/>
              <w:jc w:val="center"/>
            </w:pPr>
          </w:p>
        </w:tc>
        <w:tc>
          <w:tcPr>
            <w:tcW w:w="1328" w:type="dxa"/>
            <w:gridSpan w:val="3"/>
            <w:vMerge w:val="continue"/>
            <w:vAlign w:val="center"/>
          </w:tcPr>
          <w:p w14:paraId="16DF8260">
            <w:pPr>
              <w:pStyle w:val="4"/>
              <w:jc w:val="center"/>
            </w:pPr>
          </w:p>
        </w:tc>
        <w:tc>
          <w:tcPr>
            <w:tcW w:w="4478" w:type="dxa"/>
            <w:vMerge w:val="continue"/>
            <w:vAlign w:val="center"/>
          </w:tcPr>
          <w:p w14:paraId="78F9727A">
            <w:pPr>
              <w:pStyle w:val="4"/>
              <w:jc w:val="center"/>
            </w:pPr>
          </w:p>
        </w:tc>
        <w:tc>
          <w:tcPr>
            <w:tcW w:w="995" w:type="dxa"/>
            <w:vAlign w:val="center"/>
          </w:tcPr>
          <w:p w14:paraId="140D567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7E8A8CF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2167A76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64B6DBF7">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5CF023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jc w:val="center"/>
        </w:trPr>
        <w:tc>
          <w:tcPr>
            <w:tcW w:w="544" w:type="dxa"/>
            <w:vMerge w:val="restart"/>
            <w:tcBorders>
              <w:left w:val="single" w:color="000000" w:sz="6" w:space="0"/>
            </w:tcBorders>
            <w:vAlign w:val="center"/>
          </w:tcPr>
          <w:p w14:paraId="6AD6A49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18.2</w:t>
            </w:r>
          </w:p>
        </w:tc>
        <w:tc>
          <w:tcPr>
            <w:tcW w:w="1328" w:type="dxa"/>
            <w:gridSpan w:val="3"/>
            <w:vMerge w:val="restart"/>
            <w:vAlign w:val="center"/>
          </w:tcPr>
          <w:p w14:paraId="2D11E5CF">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启动加速度、制停减速度</w:t>
            </w:r>
          </w:p>
        </w:tc>
        <w:tc>
          <w:tcPr>
            <w:tcW w:w="4478" w:type="dxa"/>
            <w:vMerge w:val="restart"/>
            <w:vAlign w:val="center"/>
          </w:tcPr>
          <w:p w14:paraId="3100837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a)乘客电梯起动加速度和制动减速度最大值不应大于1.5 m/s²</w:t>
            </w:r>
          </w:p>
          <w:p w14:paraId="5EECA1B1">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b)当乘客电梯额定速度为1.0m/s&lt;v≤2.0m/s时，  按GB/T 24474.1—2020中5.2.3测量，A95加、减速度不应小于0.5m/s²</w:t>
            </w:r>
          </w:p>
          <w:p w14:paraId="29C5A98D">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c)当乘客电梯额定速度为2.0m/s&lt;v≤6.0m/时，按GB/T 24474.1—2020中5.2.3测量，A95加、减速度不应小于0.7m/s²</w:t>
            </w:r>
          </w:p>
        </w:tc>
        <w:tc>
          <w:tcPr>
            <w:tcW w:w="995" w:type="dxa"/>
            <w:vAlign w:val="center"/>
          </w:tcPr>
          <w:p w14:paraId="322011D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FD79BA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1CE9A5B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565107E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57A98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jc w:val="center"/>
        </w:trPr>
        <w:tc>
          <w:tcPr>
            <w:tcW w:w="544" w:type="dxa"/>
            <w:vMerge w:val="continue"/>
            <w:tcBorders>
              <w:left w:val="single" w:color="000000" w:sz="6" w:space="0"/>
            </w:tcBorders>
            <w:vAlign w:val="center"/>
          </w:tcPr>
          <w:p w14:paraId="61F76BFD">
            <w:pPr>
              <w:pStyle w:val="4"/>
              <w:jc w:val="center"/>
            </w:pPr>
          </w:p>
        </w:tc>
        <w:tc>
          <w:tcPr>
            <w:tcW w:w="1328" w:type="dxa"/>
            <w:gridSpan w:val="3"/>
            <w:vMerge w:val="continue"/>
            <w:vAlign w:val="center"/>
          </w:tcPr>
          <w:p w14:paraId="3201A46C">
            <w:pPr>
              <w:pStyle w:val="4"/>
              <w:jc w:val="center"/>
            </w:pPr>
          </w:p>
        </w:tc>
        <w:tc>
          <w:tcPr>
            <w:tcW w:w="4478" w:type="dxa"/>
            <w:vMerge w:val="continue"/>
            <w:vAlign w:val="center"/>
          </w:tcPr>
          <w:p w14:paraId="3E577CD3">
            <w:pPr>
              <w:pStyle w:val="4"/>
              <w:jc w:val="center"/>
            </w:pPr>
          </w:p>
        </w:tc>
        <w:tc>
          <w:tcPr>
            <w:tcW w:w="995" w:type="dxa"/>
            <w:vAlign w:val="center"/>
          </w:tcPr>
          <w:p w14:paraId="3B7A056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136CD25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6020931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5EA9A5C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438DA1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jc w:val="center"/>
        </w:trPr>
        <w:tc>
          <w:tcPr>
            <w:tcW w:w="544" w:type="dxa"/>
            <w:vMerge w:val="restart"/>
            <w:tcBorders>
              <w:left w:val="single" w:color="000000" w:sz="6" w:space="0"/>
            </w:tcBorders>
            <w:vAlign w:val="center"/>
          </w:tcPr>
          <w:p w14:paraId="2FFDE96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18.3</w:t>
            </w:r>
          </w:p>
        </w:tc>
        <w:tc>
          <w:tcPr>
            <w:tcW w:w="1328" w:type="dxa"/>
            <w:gridSpan w:val="3"/>
            <w:vMerge w:val="restart"/>
            <w:vAlign w:val="center"/>
          </w:tcPr>
          <w:p w14:paraId="78C990D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轿厢最大水平振动</w:t>
            </w:r>
          </w:p>
        </w:tc>
        <w:tc>
          <w:tcPr>
            <w:tcW w:w="4478" w:type="dxa"/>
            <w:vMerge w:val="restart"/>
            <w:vAlign w:val="center"/>
          </w:tcPr>
          <w:p w14:paraId="3708807F">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乘客电梯轿厢运行期间水平振动的最大峰峰值不应大于0.20m/s² ，A95峰峰值不应大于0.15m/s²</w:t>
            </w:r>
          </w:p>
        </w:tc>
        <w:tc>
          <w:tcPr>
            <w:tcW w:w="995" w:type="dxa"/>
            <w:vAlign w:val="center"/>
          </w:tcPr>
          <w:p w14:paraId="7E18043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2EA716E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394FB0FA">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22E979C3">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27C95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jc w:val="center"/>
        </w:trPr>
        <w:tc>
          <w:tcPr>
            <w:tcW w:w="544" w:type="dxa"/>
            <w:vMerge w:val="continue"/>
            <w:tcBorders>
              <w:left w:val="single" w:color="000000" w:sz="6" w:space="0"/>
            </w:tcBorders>
            <w:vAlign w:val="center"/>
          </w:tcPr>
          <w:p w14:paraId="29C36C48">
            <w:pPr>
              <w:pStyle w:val="4"/>
              <w:jc w:val="center"/>
            </w:pPr>
          </w:p>
        </w:tc>
        <w:tc>
          <w:tcPr>
            <w:tcW w:w="1328" w:type="dxa"/>
            <w:gridSpan w:val="3"/>
            <w:vMerge w:val="continue"/>
            <w:vAlign w:val="center"/>
          </w:tcPr>
          <w:p w14:paraId="29EDBC7B">
            <w:pPr>
              <w:pStyle w:val="4"/>
              <w:jc w:val="center"/>
            </w:pPr>
          </w:p>
        </w:tc>
        <w:tc>
          <w:tcPr>
            <w:tcW w:w="4478" w:type="dxa"/>
            <w:vMerge w:val="continue"/>
            <w:vAlign w:val="center"/>
          </w:tcPr>
          <w:p w14:paraId="6C7A450D">
            <w:pPr>
              <w:pStyle w:val="4"/>
              <w:jc w:val="center"/>
            </w:pPr>
          </w:p>
        </w:tc>
        <w:tc>
          <w:tcPr>
            <w:tcW w:w="995" w:type="dxa"/>
            <w:vAlign w:val="center"/>
          </w:tcPr>
          <w:p w14:paraId="69D119A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198C23A6">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11C8F6FE">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2D74A2C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r w14:paraId="58C32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6" w:hRule="atLeast"/>
          <w:jc w:val="center"/>
        </w:trPr>
        <w:tc>
          <w:tcPr>
            <w:tcW w:w="544" w:type="dxa"/>
            <w:vMerge w:val="restart"/>
            <w:tcBorders>
              <w:left w:val="single" w:color="000000" w:sz="6" w:space="0"/>
            </w:tcBorders>
            <w:vAlign w:val="center"/>
          </w:tcPr>
          <w:p w14:paraId="692C559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18.4</w:t>
            </w:r>
          </w:p>
        </w:tc>
        <w:tc>
          <w:tcPr>
            <w:tcW w:w="1328" w:type="dxa"/>
            <w:gridSpan w:val="3"/>
            <w:vMerge w:val="restart"/>
            <w:vAlign w:val="center"/>
          </w:tcPr>
          <w:p w14:paraId="52AECB8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轿厢最大垂直振动</w:t>
            </w:r>
          </w:p>
        </w:tc>
        <w:tc>
          <w:tcPr>
            <w:tcW w:w="4478" w:type="dxa"/>
            <w:vMerge w:val="restart"/>
            <w:vAlign w:val="center"/>
          </w:tcPr>
          <w:p w14:paraId="37B323E6">
            <w:pPr>
              <w:pStyle w:val="4"/>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乘客电梯轿厢运行在恒加速度区域内的垂直振动的最大峰峰值不应大于0.30m/s²，A95峰峰值不 应大于0.20m/s²</w:t>
            </w:r>
          </w:p>
        </w:tc>
        <w:tc>
          <w:tcPr>
            <w:tcW w:w="995" w:type="dxa"/>
            <w:vAlign w:val="center"/>
          </w:tcPr>
          <w:p w14:paraId="5AAE9492">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符合</w:t>
            </w:r>
          </w:p>
        </w:tc>
        <w:tc>
          <w:tcPr>
            <w:tcW w:w="624" w:type="dxa"/>
            <w:tcBorders>
              <w:right w:val="single" w:color="000000" w:sz="6" w:space="0"/>
            </w:tcBorders>
            <w:vAlign w:val="center"/>
          </w:tcPr>
          <w:p w14:paraId="794F4871">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1BAA6A79">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w:t>
            </w:r>
          </w:p>
        </w:tc>
        <w:tc>
          <w:tcPr>
            <w:tcW w:w="629" w:type="dxa"/>
            <w:tcBorders>
              <w:right w:val="single" w:color="000000" w:sz="6" w:space="0"/>
            </w:tcBorders>
            <w:vAlign w:val="center"/>
          </w:tcPr>
          <w:p w14:paraId="4F187CA5">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0929AE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jc w:val="center"/>
        </w:trPr>
        <w:tc>
          <w:tcPr>
            <w:tcW w:w="544" w:type="dxa"/>
            <w:vMerge w:val="continue"/>
            <w:tcBorders>
              <w:left w:val="single" w:color="000000" w:sz="6" w:space="0"/>
            </w:tcBorders>
            <w:vAlign w:val="center"/>
          </w:tcPr>
          <w:p w14:paraId="41FE309D">
            <w:pPr>
              <w:pStyle w:val="4"/>
              <w:jc w:val="center"/>
            </w:pPr>
          </w:p>
        </w:tc>
        <w:tc>
          <w:tcPr>
            <w:tcW w:w="1328" w:type="dxa"/>
            <w:gridSpan w:val="3"/>
            <w:vMerge w:val="continue"/>
            <w:vAlign w:val="center"/>
          </w:tcPr>
          <w:p w14:paraId="1C52C996">
            <w:pPr>
              <w:pStyle w:val="4"/>
              <w:jc w:val="center"/>
            </w:pPr>
          </w:p>
        </w:tc>
        <w:tc>
          <w:tcPr>
            <w:tcW w:w="4478" w:type="dxa"/>
            <w:vMerge w:val="continue"/>
            <w:vAlign w:val="center"/>
          </w:tcPr>
          <w:p w14:paraId="6EFD4AD4">
            <w:pPr>
              <w:pStyle w:val="4"/>
              <w:jc w:val="center"/>
            </w:pPr>
          </w:p>
        </w:tc>
        <w:tc>
          <w:tcPr>
            <w:tcW w:w="995" w:type="dxa"/>
            <w:vAlign w:val="center"/>
          </w:tcPr>
          <w:p w14:paraId="058B95B8">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right w:val="single" w:color="000000" w:sz="6" w:space="0"/>
            </w:tcBorders>
            <w:vAlign w:val="center"/>
          </w:tcPr>
          <w:p w14:paraId="0B790A9D">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right w:val="single" w:color="000000" w:sz="6" w:space="0"/>
            </w:tcBorders>
            <w:vAlign w:val="center"/>
          </w:tcPr>
          <w:p w14:paraId="2365D82C">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w:t>
            </w:r>
          </w:p>
        </w:tc>
        <w:tc>
          <w:tcPr>
            <w:tcW w:w="629" w:type="dxa"/>
            <w:tcBorders>
              <w:right w:val="single" w:color="000000" w:sz="6" w:space="0"/>
            </w:tcBorders>
            <w:vAlign w:val="center"/>
          </w:tcPr>
          <w:p w14:paraId="2188E950">
            <w:pPr>
              <w:pStyle w:val="4"/>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r>
    </w:tbl>
    <w:p w14:paraId="402975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96114"/>
    <w:rsid w:val="34754843"/>
    <w:rsid w:val="45696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Table Text"/>
    <w:basedOn w:val="1"/>
    <w:semiHidden/>
    <w:qFormat/>
    <w:uiPriority w:val="0"/>
    <w:rPr>
      <w:rFonts w:ascii="微软雅黑" w:hAnsi="微软雅黑" w:eastAsia="微软雅黑" w:cs="微软雅黑"/>
      <w:sz w:val="16"/>
      <w:szCs w:val="16"/>
      <w:lang w:eastAsia="en-US"/>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6189</Words>
  <Characters>7024</Characters>
  <Lines>0</Lines>
  <Paragraphs>0</Paragraphs>
  <TotalTime>0</TotalTime>
  <ScaleCrop>false</ScaleCrop>
  <LinksUpToDate>false</LinksUpToDate>
  <CharactersWithSpaces>7095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2026-10-14T10:00:00Z</dcterms:created>
  <dc:creator>邢邓鸿</dc:creator>
  <cp:lastModifiedBy>邢邓鸿</cp:lastModifiedBy>
  <dcterms:modified xsi:type="dcterms:W3CDTF">2026-10-14T10:29:58Z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5D53F1D22FA94A31A554BB50DBC47DDC_11</vt:lpwstr>
  </property>
  <property fmtid="{D5CDD505-2E9C-101B-9397-08002B2CF9AE}" pid="4" name="KSOTemplateDocerSaveRecord">
    <vt:lpwstr>eyJoZGlkIjoiZjhiMGM2YTEzYmQ4ZmY3MGZhNDg5NTVjY2NkMDE5MGIiLCJ1c2VySWQiOiIxODg3MjU1MjY3In0=</vt:lpwstr>
  </property>
</Properties>
</file>