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F42A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 xml:space="preserve">Tip 2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: </w:t>
      </w:r>
      <w:proofErr w:type="spellStart"/>
      <w:r w:rsidRPr="00064689">
        <w:rPr>
          <w:b/>
          <w:bCs/>
        </w:rPr>
        <w:t>Derleme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Makalesi</w:t>
      </w:r>
      <w:proofErr w:type="spellEnd"/>
    </w:p>
    <w:p w14:paraId="0526B026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>GİRİŞ</w:t>
      </w:r>
    </w:p>
    <w:p w14:paraId="384060D2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 xml:space="preserve">Tip 2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(T2DM),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direnci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relatif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eksikliği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karakterize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dünyada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prevalansı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giderek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kronik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metabolik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hastalıktır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bireylerin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yaşam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kalitesini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düşürmekte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özellikle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kardiyovasküler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hastalıklar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başta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olmak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üzere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birçok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ilişkili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bulunmaktadır</w:t>
      </w:r>
      <w:proofErr w:type="spellEnd"/>
      <w:r w:rsidRPr="00064689">
        <w:rPr>
          <w:b/>
          <w:bCs/>
        </w:rPr>
        <w:t xml:space="preserve"> (Turan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Kulaksızoğlu, 2015). </w:t>
      </w:r>
      <w:proofErr w:type="spellStart"/>
      <w:r w:rsidRPr="00064689">
        <w:rPr>
          <w:b/>
          <w:bCs/>
        </w:rPr>
        <w:t>Günümüzde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yaygınlığı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toplum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sağlığı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üzerinde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önemli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oluşturmakta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yaşam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kalitesini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düşürmektedir</w:t>
      </w:r>
      <w:proofErr w:type="spellEnd"/>
      <w:r w:rsidRPr="00064689">
        <w:rPr>
          <w:b/>
          <w:bCs/>
        </w:rPr>
        <w:t xml:space="preserve">. Bu durum, hem </w:t>
      </w:r>
      <w:proofErr w:type="spellStart"/>
      <w:r w:rsidRPr="00064689">
        <w:rPr>
          <w:b/>
          <w:bCs/>
        </w:rPr>
        <w:t>bireysel</w:t>
      </w:r>
      <w:proofErr w:type="spellEnd"/>
      <w:r w:rsidRPr="00064689">
        <w:rPr>
          <w:b/>
          <w:bCs/>
        </w:rPr>
        <w:t xml:space="preserve"> hem de </w:t>
      </w:r>
      <w:proofErr w:type="spellStart"/>
      <w:r w:rsidRPr="00064689">
        <w:rPr>
          <w:b/>
          <w:bCs/>
        </w:rPr>
        <w:t>toplumsal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düzeyde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ciddi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ekonomik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sosyal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sonuçlar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doğurmaktadır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tedavi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edilmemesi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durumunda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komplikasyonların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artmasıyla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birlikte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yaşam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süresi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kısalabilir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işlevselliği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ciddi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oranda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azalabilir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hem </w:t>
      </w:r>
      <w:proofErr w:type="spellStart"/>
      <w:r w:rsidRPr="00064689">
        <w:rPr>
          <w:b/>
          <w:bCs/>
        </w:rPr>
        <w:t>önlenmesinde</w:t>
      </w:r>
      <w:proofErr w:type="spellEnd"/>
      <w:r w:rsidRPr="00064689">
        <w:rPr>
          <w:b/>
          <w:bCs/>
        </w:rPr>
        <w:t xml:space="preserve"> hem de </w:t>
      </w:r>
      <w:proofErr w:type="spellStart"/>
      <w:r w:rsidRPr="00064689">
        <w:rPr>
          <w:b/>
          <w:bCs/>
        </w:rPr>
        <w:t>yönetiminde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temel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rol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oynamaktadır</w:t>
      </w:r>
      <w:proofErr w:type="spellEnd"/>
      <w:r w:rsidRPr="00064689">
        <w:rPr>
          <w:b/>
          <w:bCs/>
        </w:rPr>
        <w:t xml:space="preserve">. Bu </w:t>
      </w:r>
      <w:proofErr w:type="spellStart"/>
      <w:r w:rsidRPr="00064689">
        <w:rPr>
          <w:b/>
          <w:bCs/>
        </w:rPr>
        <w:t>derlemede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temelli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yönetim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stratejileri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alınarak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hastalığın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komplikasyonların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önlenmesi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için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bilimsel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yaklaşımlar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tartışılmıştır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yaşam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tarzı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değişikliklerinin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diğer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tamamlayıcı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müdahalelerin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etkileri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incelenmiştir</w:t>
      </w:r>
      <w:proofErr w:type="spellEnd"/>
      <w:r w:rsidRPr="00064689">
        <w:rPr>
          <w:b/>
          <w:bCs/>
        </w:rPr>
        <w:t>.</w:t>
      </w:r>
    </w:p>
    <w:p w14:paraId="18CF28EA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pict w14:anchorId="4BAF5D4F">
          <v:rect id="_x0000_i1209" style="width:0;height:1.5pt" o:hralign="center" o:hrstd="t" o:hr="t" fillcolor="#a0a0a0" stroked="f"/>
        </w:pict>
      </w:r>
    </w:p>
    <w:p w14:paraId="5E615D91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>TIP 2 DİYABET VE PATOLOJİSİ</w:t>
      </w:r>
    </w:p>
    <w:p w14:paraId="584F653B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 xml:space="preserve">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temelinde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direnci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beta </w:t>
      </w:r>
      <w:proofErr w:type="spellStart"/>
      <w:r w:rsidRPr="00064689">
        <w:rPr>
          <w:b/>
          <w:bCs/>
        </w:rPr>
        <w:t>hücre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disfonksiyonu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almaktadır</w:t>
      </w:r>
      <w:proofErr w:type="spellEnd"/>
      <w:r w:rsidRPr="00064689">
        <w:rPr>
          <w:b/>
          <w:bCs/>
        </w:rPr>
        <w:t xml:space="preserve">. Bu durum, kas </w:t>
      </w:r>
      <w:proofErr w:type="spellStart"/>
      <w:r w:rsidRPr="00064689">
        <w:rPr>
          <w:b/>
          <w:bCs/>
        </w:rPr>
        <w:t>dokusunda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glukoz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azalması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karaciğerde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glukoz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üretiminin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artması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pankreasın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salınım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yetersizliği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sonuçlanmaktadır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Okburan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Büyükkaragöz</w:t>
      </w:r>
      <w:proofErr w:type="spellEnd"/>
      <w:r w:rsidRPr="00064689">
        <w:rPr>
          <w:b/>
          <w:bCs/>
        </w:rPr>
        <w:t xml:space="preserve">, 2018). </w:t>
      </w:r>
      <w:proofErr w:type="spellStart"/>
      <w:r w:rsidRPr="00064689">
        <w:rPr>
          <w:b/>
          <w:bCs/>
        </w:rPr>
        <w:t>Patofizyolojide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adipoz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dokudan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salgılanan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sitokinler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serbest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asitleri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direncini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artırırken</w:t>
      </w:r>
      <w:proofErr w:type="spellEnd"/>
      <w:r w:rsidRPr="00064689">
        <w:rPr>
          <w:b/>
          <w:bCs/>
        </w:rPr>
        <w:t xml:space="preserve"> beta </w:t>
      </w:r>
      <w:proofErr w:type="spellStart"/>
      <w:r w:rsidRPr="00064689">
        <w:rPr>
          <w:b/>
          <w:bCs/>
        </w:rPr>
        <w:t>hücre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hasarına</w:t>
      </w:r>
      <w:proofErr w:type="spellEnd"/>
      <w:r w:rsidRPr="00064689">
        <w:rPr>
          <w:b/>
          <w:bCs/>
        </w:rPr>
        <w:t xml:space="preserve"> da </w:t>
      </w:r>
      <w:proofErr w:type="spellStart"/>
      <w:r w:rsidRPr="00064689">
        <w:rPr>
          <w:b/>
          <w:bCs/>
        </w:rPr>
        <w:t>yol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açmaktadır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Karslıoğlu</w:t>
      </w:r>
      <w:proofErr w:type="spellEnd"/>
      <w:r w:rsidRPr="00064689">
        <w:rPr>
          <w:b/>
          <w:bCs/>
        </w:rPr>
        <w:t xml:space="preserve">, 2019). Bunun </w:t>
      </w:r>
      <w:proofErr w:type="spellStart"/>
      <w:r w:rsidRPr="00064689">
        <w:rPr>
          <w:b/>
          <w:bCs/>
        </w:rPr>
        <w:t>yanı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sıra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metabolik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bozukluklar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inflamasyonun</w:t>
      </w:r>
      <w:proofErr w:type="spellEnd"/>
      <w:r w:rsidRPr="00064689">
        <w:rPr>
          <w:b/>
          <w:bCs/>
        </w:rPr>
        <w:t xml:space="preserve"> da 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patofizyolojisine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önemli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katkılar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sağladığı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bilinmektedir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Özellikle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kronik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inflamasyon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ilerleyişinde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komplikasyonlarında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önemli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rol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oynamaktadır</w:t>
      </w:r>
      <w:proofErr w:type="spellEnd"/>
      <w:r w:rsidRPr="00064689">
        <w:rPr>
          <w:b/>
          <w:bCs/>
        </w:rPr>
        <w:t>.</w:t>
      </w:r>
    </w:p>
    <w:p w14:paraId="78EB754D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Obezite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gelişiminde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önemli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risk </w:t>
      </w:r>
      <w:proofErr w:type="spellStart"/>
      <w:r w:rsidRPr="00064689">
        <w:rPr>
          <w:b/>
          <w:bCs/>
        </w:rPr>
        <w:t>faktörü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olup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vücut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kütle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indeksi</w:t>
      </w:r>
      <w:proofErr w:type="spellEnd"/>
      <w:r w:rsidRPr="00064689">
        <w:rPr>
          <w:b/>
          <w:bCs/>
        </w:rPr>
        <w:t xml:space="preserve"> (BMI) </w:t>
      </w:r>
      <w:proofErr w:type="spellStart"/>
      <w:r w:rsidRPr="00064689">
        <w:rPr>
          <w:b/>
          <w:bCs/>
        </w:rPr>
        <w:t>ile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riski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arasında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doğrusal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ilişki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vardır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Örneğin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BMI’nin</w:t>
      </w:r>
      <w:proofErr w:type="spellEnd"/>
      <w:r w:rsidRPr="00064689">
        <w:rPr>
          <w:b/>
          <w:bCs/>
        </w:rPr>
        <w:t xml:space="preserve"> 35 kg/m²’nin </w:t>
      </w:r>
      <w:proofErr w:type="spellStart"/>
      <w:r w:rsidRPr="00064689">
        <w:rPr>
          <w:b/>
          <w:bCs/>
        </w:rPr>
        <w:t>üzerinde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olduğu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bireylerde</w:t>
      </w:r>
      <w:proofErr w:type="spellEnd"/>
      <w:r w:rsidRPr="00064689">
        <w:rPr>
          <w:b/>
          <w:bCs/>
        </w:rPr>
        <w:t xml:space="preserve"> tip 2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riski</w:t>
      </w:r>
      <w:proofErr w:type="spellEnd"/>
      <w:r w:rsidRPr="00064689">
        <w:rPr>
          <w:b/>
          <w:bCs/>
        </w:rPr>
        <w:t xml:space="preserve">, normal BMI </w:t>
      </w:r>
      <w:proofErr w:type="spellStart"/>
      <w:r w:rsidRPr="00064689">
        <w:rPr>
          <w:b/>
          <w:bCs/>
        </w:rPr>
        <w:t>değerine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sahip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göre</w:t>
      </w:r>
      <w:proofErr w:type="spellEnd"/>
      <w:r w:rsidRPr="00064689">
        <w:rPr>
          <w:b/>
          <w:bCs/>
        </w:rPr>
        <w:t xml:space="preserve"> 20 kat </w:t>
      </w:r>
      <w:proofErr w:type="spellStart"/>
      <w:r w:rsidRPr="00064689">
        <w:rPr>
          <w:b/>
          <w:bCs/>
        </w:rPr>
        <w:t>daha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fazladır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Karslıoğlu</w:t>
      </w:r>
      <w:proofErr w:type="spellEnd"/>
      <w:r w:rsidRPr="00064689">
        <w:rPr>
          <w:b/>
          <w:bCs/>
        </w:rPr>
        <w:t xml:space="preserve">, 2019).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santral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obezite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karaciğer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yağlanması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gibi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durumlar</w:t>
      </w:r>
      <w:proofErr w:type="spellEnd"/>
      <w:r w:rsidRPr="00064689">
        <w:rPr>
          <w:b/>
          <w:bCs/>
        </w:rPr>
        <w:t xml:space="preserve"> da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direncini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şiddetlendiren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faktörler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arasında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almaktadır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dokusunun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hormon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salınımındaki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değişiklikler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metabolik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sendromun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gelişiminde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anahtar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rol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oynar</w:t>
      </w:r>
      <w:proofErr w:type="spellEnd"/>
      <w:r w:rsidRPr="00064689">
        <w:rPr>
          <w:b/>
          <w:bCs/>
        </w:rPr>
        <w:t>.</w:t>
      </w:r>
    </w:p>
    <w:p w14:paraId="7C000840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pict w14:anchorId="219B6B14">
          <v:rect id="_x0000_i1210" style="width:0;height:1.5pt" o:hralign="center" o:hrstd="t" o:hr="t" fillcolor="#a0a0a0" stroked="f"/>
        </w:pict>
      </w:r>
    </w:p>
    <w:p w14:paraId="28497411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>BESLENMENİN ROLÜ</w:t>
      </w:r>
    </w:p>
    <w:p w14:paraId="24F66A8C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</w:t>
      </w:r>
      <w:proofErr w:type="spellEnd"/>
    </w:p>
    <w:p w14:paraId="1C624372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lastRenderedPageBreak/>
        <w:t>Düzenli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tıbbi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tedavisi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yönetiminde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kilit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rol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oynamaktadır</w:t>
      </w:r>
      <w:proofErr w:type="spellEnd"/>
      <w:r w:rsidRPr="00064689">
        <w:rPr>
          <w:b/>
          <w:bCs/>
        </w:rPr>
        <w:t xml:space="preserve">. Amerikan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Birliği</w:t>
      </w:r>
      <w:proofErr w:type="spellEnd"/>
      <w:r w:rsidRPr="00064689">
        <w:rPr>
          <w:b/>
          <w:bCs/>
        </w:rPr>
        <w:t xml:space="preserve"> (ADA) </w:t>
      </w:r>
      <w:proofErr w:type="spellStart"/>
      <w:r w:rsidRPr="00064689">
        <w:rPr>
          <w:b/>
          <w:bCs/>
        </w:rPr>
        <w:t>rehberleri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sağlanması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için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düşük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indeksli</w:t>
      </w:r>
      <w:proofErr w:type="spellEnd"/>
      <w:r w:rsidRPr="00064689">
        <w:rPr>
          <w:b/>
          <w:bCs/>
        </w:rPr>
        <w:t xml:space="preserve"> (GI) </w:t>
      </w:r>
      <w:proofErr w:type="spellStart"/>
      <w:r w:rsidRPr="00064689">
        <w:rPr>
          <w:b/>
          <w:bCs/>
        </w:rPr>
        <w:t>karbonhidratların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tüketilmesini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önermektedir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Günlük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karbonhidrat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</w:t>
      </w:r>
      <w:proofErr w:type="spellEnd"/>
      <w:r w:rsidRPr="00064689">
        <w:rPr>
          <w:b/>
          <w:bCs/>
        </w:rPr>
        <w:t xml:space="preserve"> 130 </w:t>
      </w:r>
      <w:proofErr w:type="spellStart"/>
      <w:r w:rsidRPr="00064689">
        <w:rPr>
          <w:b/>
          <w:bCs/>
        </w:rPr>
        <w:t>gramın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altına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düşmemelidir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Okburan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Büyükkaragöz</w:t>
      </w:r>
      <w:proofErr w:type="spellEnd"/>
      <w:r w:rsidRPr="00064689">
        <w:rPr>
          <w:b/>
          <w:bCs/>
        </w:rPr>
        <w:t xml:space="preserve">, 2018). </w:t>
      </w:r>
      <w:proofErr w:type="spellStart"/>
      <w:r w:rsidRPr="00064689">
        <w:rPr>
          <w:b/>
          <w:bCs/>
        </w:rPr>
        <w:t>Kompleks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karbonhidratlar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kan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glukoz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düzeylerini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sabit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tutarak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hiperglisemiyi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önler</w:t>
      </w:r>
      <w:proofErr w:type="spellEnd"/>
      <w:r w:rsidRPr="00064689">
        <w:rPr>
          <w:b/>
          <w:bCs/>
        </w:rPr>
        <w:t xml:space="preserve">. Bu, hem </w:t>
      </w:r>
      <w:proofErr w:type="spellStart"/>
      <w:r w:rsidRPr="00064689">
        <w:rPr>
          <w:b/>
          <w:bCs/>
        </w:rPr>
        <w:t>kısa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vadeli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</w:t>
      </w:r>
      <w:proofErr w:type="spellEnd"/>
      <w:r w:rsidRPr="00064689">
        <w:rPr>
          <w:b/>
          <w:bCs/>
        </w:rPr>
        <w:t xml:space="preserve"> hem de </w:t>
      </w:r>
      <w:proofErr w:type="spellStart"/>
      <w:r w:rsidRPr="00064689">
        <w:rPr>
          <w:b/>
          <w:bCs/>
        </w:rPr>
        <w:t>uzun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vadede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komplikasyonların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azaltılması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açısından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kritik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sahiptir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karbonhidrat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tüketimindeki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düzenlilik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postprandiyal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hiperglisemiyi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önlemekte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büyük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etkiye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sahiptir</w:t>
      </w:r>
      <w:proofErr w:type="spellEnd"/>
      <w:r w:rsidRPr="00064689">
        <w:rPr>
          <w:b/>
          <w:bCs/>
        </w:rPr>
        <w:t>.</w:t>
      </w:r>
    </w:p>
    <w:p w14:paraId="00C223F1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Protein </w:t>
      </w:r>
      <w:proofErr w:type="spellStart"/>
      <w:r w:rsidRPr="00064689">
        <w:rPr>
          <w:b/>
          <w:bCs/>
        </w:rPr>
        <w:t>Alımı</w:t>
      </w:r>
      <w:proofErr w:type="spellEnd"/>
    </w:p>
    <w:p w14:paraId="32E97884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programında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toplam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miktarının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enerji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alımının</w:t>
      </w:r>
      <w:proofErr w:type="spellEnd"/>
      <w:r w:rsidRPr="00064689">
        <w:rPr>
          <w:b/>
          <w:bCs/>
        </w:rPr>
        <w:t xml:space="preserve"> %30’unu, </w:t>
      </w:r>
      <w:proofErr w:type="spellStart"/>
      <w:r w:rsidRPr="00064689">
        <w:rPr>
          <w:b/>
          <w:bCs/>
        </w:rPr>
        <w:t>doymuş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miktarının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ise</w:t>
      </w:r>
      <w:proofErr w:type="spellEnd"/>
      <w:r w:rsidRPr="00064689">
        <w:rPr>
          <w:b/>
          <w:bCs/>
        </w:rPr>
        <w:t xml:space="preserve"> %7’sini </w:t>
      </w:r>
      <w:proofErr w:type="spellStart"/>
      <w:r w:rsidRPr="00064689">
        <w:rPr>
          <w:b/>
          <w:bCs/>
        </w:rPr>
        <w:t>geçmemesi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tavsiye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edilmektedir</w:t>
      </w:r>
      <w:proofErr w:type="spellEnd"/>
      <w:r w:rsidRPr="00064689">
        <w:rPr>
          <w:b/>
          <w:bCs/>
        </w:rPr>
        <w:t xml:space="preserve"> (Turan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ark., 2015).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kültüründe</w:t>
      </w:r>
      <w:proofErr w:type="spellEnd"/>
      <w:r w:rsidRPr="00064689">
        <w:rPr>
          <w:b/>
          <w:bCs/>
        </w:rPr>
        <w:t xml:space="preserve"> trans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sınırlandırılması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omega-3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asitleri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içeren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gıdaların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artırılması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önemlidir</w:t>
      </w:r>
      <w:proofErr w:type="spellEnd"/>
      <w:r w:rsidRPr="00064689">
        <w:rPr>
          <w:b/>
          <w:bCs/>
        </w:rPr>
        <w:t xml:space="preserve">. Omega-3 </w:t>
      </w:r>
      <w:proofErr w:type="spellStart"/>
      <w:r w:rsidRPr="00064689">
        <w:rPr>
          <w:b/>
          <w:bCs/>
        </w:rPr>
        <w:t>yağ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asitlerinin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inflamasyonu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azaltıcı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etkileri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sayesinde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riskini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düşürdüğü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belirtilmiştir</w:t>
      </w:r>
      <w:proofErr w:type="spellEnd"/>
      <w:r w:rsidRPr="00064689">
        <w:rPr>
          <w:b/>
          <w:bCs/>
        </w:rPr>
        <w:t xml:space="preserve">. Protein </w:t>
      </w:r>
      <w:proofErr w:type="spellStart"/>
      <w:r w:rsidRPr="00064689">
        <w:rPr>
          <w:b/>
          <w:bCs/>
        </w:rPr>
        <w:t>kaynakları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olarak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yağlı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süt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ürünleri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beyaz</w:t>
      </w:r>
      <w:proofErr w:type="spellEnd"/>
      <w:r w:rsidRPr="00064689">
        <w:rPr>
          <w:b/>
          <w:bCs/>
        </w:rPr>
        <w:t xml:space="preserve"> et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balık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tercih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edilmelidir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Okburan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Büyükkaragöz</w:t>
      </w:r>
      <w:proofErr w:type="spellEnd"/>
      <w:r w:rsidRPr="00064689">
        <w:rPr>
          <w:b/>
          <w:bCs/>
        </w:rPr>
        <w:t xml:space="preserve">, 2018).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bitkisel</w:t>
      </w:r>
      <w:proofErr w:type="spellEnd"/>
      <w:r w:rsidRPr="00064689">
        <w:rPr>
          <w:b/>
          <w:bCs/>
        </w:rPr>
        <w:t xml:space="preserve"> protein </w:t>
      </w:r>
      <w:proofErr w:type="spellStart"/>
      <w:r w:rsidRPr="00064689">
        <w:rPr>
          <w:b/>
          <w:bCs/>
        </w:rPr>
        <w:t>kaynaklarının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diyette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artırılmasının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duyarlılığını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artırdığı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katkıda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bulunduğu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gösterilmiştir</w:t>
      </w:r>
      <w:proofErr w:type="spellEnd"/>
      <w:r w:rsidRPr="00064689">
        <w:rPr>
          <w:b/>
          <w:bCs/>
        </w:rPr>
        <w:t>.</w:t>
      </w:r>
    </w:p>
    <w:p w14:paraId="41C140FD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 xml:space="preserve">Lif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Posa</w:t>
      </w:r>
      <w:proofErr w:type="spellEnd"/>
    </w:p>
    <w:p w14:paraId="2DE6F181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Günlük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posa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</w:t>
      </w:r>
      <w:proofErr w:type="spellEnd"/>
      <w:r w:rsidRPr="00064689">
        <w:rPr>
          <w:b/>
          <w:bCs/>
        </w:rPr>
        <w:t xml:space="preserve"> her 1000 kcal </w:t>
      </w:r>
      <w:proofErr w:type="spellStart"/>
      <w:r w:rsidRPr="00064689">
        <w:rPr>
          <w:b/>
          <w:bCs/>
        </w:rPr>
        <w:t>için</w:t>
      </w:r>
      <w:proofErr w:type="spellEnd"/>
      <w:r w:rsidRPr="00064689">
        <w:rPr>
          <w:b/>
          <w:bCs/>
        </w:rPr>
        <w:t xml:space="preserve"> </w:t>
      </w:r>
      <w:proofErr w:type="gramStart"/>
      <w:r w:rsidRPr="00064689">
        <w:rPr>
          <w:b/>
          <w:bCs/>
        </w:rPr>
        <w:t>14 gram</w:t>
      </w:r>
      <w:proofErr w:type="gram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olacak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şekilde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ayarlanmalıdır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Diyette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yeterli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posa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bulunması</w:t>
      </w:r>
      <w:proofErr w:type="spellEnd"/>
      <w:r w:rsidRPr="00064689">
        <w:rPr>
          <w:b/>
          <w:bCs/>
        </w:rPr>
        <w:t xml:space="preserve">, hem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sağlar</w:t>
      </w:r>
      <w:proofErr w:type="spellEnd"/>
      <w:r w:rsidRPr="00064689">
        <w:rPr>
          <w:b/>
          <w:bCs/>
        </w:rPr>
        <w:t xml:space="preserve"> hem de </w:t>
      </w:r>
      <w:proofErr w:type="spellStart"/>
      <w:r w:rsidRPr="00064689">
        <w:rPr>
          <w:b/>
          <w:bCs/>
        </w:rPr>
        <w:t>kardiyovasküler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komplikasyon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riskini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azaltır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Karslıoğlu</w:t>
      </w:r>
      <w:proofErr w:type="spellEnd"/>
      <w:r w:rsidRPr="00064689">
        <w:rPr>
          <w:b/>
          <w:bCs/>
        </w:rPr>
        <w:t xml:space="preserve">, 2019). </w:t>
      </w:r>
      <w:proofErr w:type="spellStart"/>
      <w:r w:rsidRPr="00064689">
        <w:rPr>
          <w:b/>
          <w:bCs/>
        </w:rPr>
        <w:t>Sebze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meyve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tam </w:t>
      </w:r>
      <w:proofErr w:type="spellStart"/>
      <w:r w:rsidRPr="00064689">
        <w:rPr>
          <w:b/>
          <w:bCs/>
        </w:rPr>
        <w:t>tahıllar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önerilen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başlıca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kaynaklardır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posa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bağırsak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mikrobiyotasını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olumlu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etkileyerek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ilerleyişini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yavaşlatabileceği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bildirilmektedir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Mikrobiyota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üzerinde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yapılan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çalışmalar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diyetle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alınan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posanın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bağırsağın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metabolik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sağlığını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iyileştirdiğini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yolla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riskini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azalttığını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göstermektedir</w:t>
      </w:r>
      <w:proofErr w:type="spellEnd"/>
      <w:r w:rsidRPr="00064689">
        <w:rPr>
          <w:b/>
          <w:bCs/>
        </w:rPr>
        <w:t>.</w:t>
      </w:r>
    </w:p>
    <w:p w14:paraId="0FCBBDE1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pict w14:anchorId="6267ADC3">
          <v:rect id="_x0000_i1211" style="width:0;height:1.5pt" o:hralign="center" o:hrstd="t" o:hr="t" fillcolor="#a0a0a0" stroked="f"/>
        </w:pict>
      </w:r>
    </w:p>
    <w:p w14:paraId="16401651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>YAŞAM TARZI DEĞİŞİKLİĞİ VE BESLENME</w:t>
      </w:r>
    </w:p>
    <w:p w14:paraId="33A4D008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Fiziksel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Aktivite</w:t>
      </w:r>
      <w:proofErr w:type="spellEnd"/>
    </w:p>
    <w:p w14:paraId="54CD9BFF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Düzenli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fiziksel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aktivite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yönetiminde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tamamlayıcı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bileşenidir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Haftada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</w:t>
      </w:r>
      <w:proofErr w:type="spellEnd"/>
      <w:r w:rsidRPr="00064689">
        <w:rPr>
          <w:b/>
          <w:bCs/>
        </w:rPr>
        <w:t xml:space="preserve"> 150 </w:t>
      </w:r>
      <w:proofErr w:type="spellStart"/>
      <w:r w:rsidRPr="00064689">
        <w:rPr>
          <w:b/>
          <w:bCs/>
        </w:rPr>
        <w:t>dakika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orta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şiddette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aerobik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egzersiz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yapılması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duyarlılığını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artırarak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glukoz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düzeylerinin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düzenlenmesine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yardımcı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olur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Okburan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Büyükkaragöz</w:t>
      </w:r>
      <w:proofErr w:type="spellEnd"/>
      <w:r w:rsidRPr="00064689">
        <w:rPr>
          <w:b/>
          <w:bCs/>
        </w:rPr>
        <w:t xml:space="preserve">, 2018). </w:t>
      </w:r>
      <w:proofErr w:type="spellStart"/>
      <w:r w:rsidRPr="00064689">
        <w:rPr>
          <w:b/>
          <w:bCs/>
        </w:rPr>
        <w:t>Aerobik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egzersizlere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direnç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egzersizlerinin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eklenmesi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iyileşmesinde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daha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bulunmuştur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düzenli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egzersiz</w:t>
      </w:r>
      <w:proofErr w:type="spellEnd"/>
      <w:r w:rsidRPr="00064689">
        <w:rPr>
          <w:b/>
          <w:bCs/>
        </w:rPr>
        <w:t xml:space="preserve"> beta </w:t>
      </w:r>
      <w:proofErr w:type="spellStart"/>
      <w:r w:rsidRPr="00064689">
        <w:rPr>
          <w:b/>
          <w:bCs/>
        </w:rPr>
        <w:t>hücre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fonksiyonlarını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koruyarak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salgısını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artırabilir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lastRenderedPageBreak/>
        <w:t>Egzersiz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planlaması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bireyin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yaşına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genel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sağlık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durumuna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fiziksel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kapasitesine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özelleştirilmelidir</w:t>
      </w:r>
      <w:proofErr w:type="spellEnd"/>
      <w:r w:rsidRPr="00064689">
        <w:rPr>
          <w:b/>
          <w:bCs/>
        </w:rPr>
        <w:t>.</w:t>
      </w:r>
    </w:p>
    <w:p w14:paraId="6EE65E59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Ağırlık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Kaybı</w:t>
      </w:r>
      <w:proofErr w:type="spellEnd"/>
    </w:p>
    <w:p w14:paraId="16BE7EEF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Obez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bireylerde</w:t>
      </w:r>
      <w:proofErr w:type="spellEnd"/>
      <w:r w:rsidRPr="00064689">
        <w:rPr>
          <w:b/>
          <w:bCs/>
        </w:rPr>
        <w:t xml:space="preserve"> kilo </w:t>
      </w:r>
      <w:proofErr w:type="spellStart"/>
      <w:r w:rsidRPr="00064689">
        <w:rPr>
          <w:b/>
          <w:bCs/>
        </w:rPr>
        <w:t>kaybı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direncini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azalttığı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gibi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ilerlemesini</w:t>
      </w:r>
      <w:proofErr w:type="spellEnd"/>
      <w:r w:rsidRPr="00064689">
        <w:rPr>
          <w:b/>
          <w:bCs/>
        </w:rPr>
        <w:t xml:space="preserve"> de </w:t>
      </w:r>
      <w:proofErr w:type="spellStart"/>
      <w:r w:rsidRPr="00064689">
        <w:rPr>
          <w:b/>
          <w:bCs/>
        </w:rPr>
        <w:t>yavaşlatır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Yaşam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tarzı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değişiklikleri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bireylerin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vücut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ağırlıklarının</w:t>
      </w:r>
      <w:proofErr w:type="spellEnd"/>
      <w:r w:rsidRPr="00064689">
        <w:rPr>
          <w:b/>
          <w:bCs/>
        </w:rPr>
        <w:t xml:space="preserve"> %5-10’unu </w:t>
      </w:r>
      <w:proofErr w:type="spellStart"/>
      <w:r w:rsidRPr="00064689">
        <w:rPr>
          <w:b/>
          <w:bCs/>
        </w:rPr>
        <w:t>kaybetmesi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durumunda</w:t>
      </w:r>
      <w:proofErr w:type="spellEnd"/>
      <w:r w:rsidRPr="00064689">
        <w:rPr>
          <w:b/>
          <w:bCs/>
        </w:rPr>
        <w:t xml:space="preserve"> HbA1c </w:t>
      </w:r>
      <w:proofErr w:type="spellStart"/>
      <w:r w:rsidRPr="00064689">
        <w:rPr>
          <w:b/>
          <w:bCs/>
        </w:rPr>
        <w:t>düzeylerinde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anlamlı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iyileşmeler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sağlayabilir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Karslıoğlu</w:t>
      </w:r>
      <w:proofErr w:type="spellEnd"/>
      <w:r w:rsidRPr="00064689">
        <w:rPr>
          <w:b/>
          <w:bCs/>
        </w:rPr>
        <w:t xml:space="preserve">, 2019). Bunun </w:t>
      </w:r>
      <w:proofErr w:type="spellStart"/>
      <w:r w:rsidRPr="00064689">
        <w:rPr>
          <w:b/>
          <w:bCs/>
        </w:rPr>
        <w:t>yanı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sıra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uzun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vadeli</w:t>
      </w:r>
      <w:proofErr w:type="spellEnd"/>
      <w:r w:rsidRPr="00064689">
        <w:rPr>
          <w:b/>
          <w:bCs/>
        </w:rPr>
        <w:t xml:space="preserve"> kilo </w:t>
      </w:r>
      <w:proofErr w:type="spellStart"/>
      <w:r w:rsidRPr="00064689">
        <w:rPr>
          <w:b/>
          <w:bCs/>
        </w:rPr>
        <w:t>kontrolü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remisyona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girmesine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yardımcı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olabilir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Yapılan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çalışmalar</w:t>
      </w:r>
      <w:proofErr w:type="spellEnd"/>
      <w:r w:rsidRPr="00064689">
        <w:rPr>
          <w:b/>
          <w:bCs/>
        </w:rPr>
        <w:t xml:space="preserve">, kilo </w:t>
      </w:r>
      <w:proofErr w:type="spellStart"/>
      <w:r w:rsidRPr="00064689">
        <w:rPr>
          <w:b/>
          <w:bCs/>
        </w:rPr>
        <w:t>kaybının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yalnızca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kontrolünü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değil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aynı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zamanda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kardiyovasküler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sağlığı</w:t>
      </w:r>
      <w:proofErr w:type="spellEnd"/>
      <w:r w:rsidRPr="00064689">
        <w:rPr>
          <w:b/>
          <w:bCs/>
        </w:rPr>
        <w:t xml:space="preserve"> da </w:t>
      </w:r>
      <w:proofErr w:type="spellStart"/>
      <w:r w:rsidRPr="00064689">
        <w:rPr>
          <w:b/>
          <w:bCs/>
        </w:rPr>
        <w:t>iyileştirdiğini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göstermektedir</w:t>
      </w:r>
      <w:proofErr w:type="spellEnd"/>
      <w:r w:rsidRPr="00064689">
        <w:rPr>
          <w:b/>
          <w:bCs/>
        </w:rPr>
        <w:t>.</w:t>
      </w:r>
    </w:p>
    <w:p w14:paraId="25186161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Medikal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Tedavisi</w:t>
      </w:r>
      <w:proofErr w:type="spellEnd"/>
    </w:p>
    <w:p w14:paraId="335C95D0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Medikal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tedavisi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yönetiminde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diğer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tedavi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yöntemlerinin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etkinliğini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Enerji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alımı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bireysel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gereksinimlere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ayarlanmalı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süreçte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beslenme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alışkanlıkları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göz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önünde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bulundurulmalıdır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Diyabetli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bireylerde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düşük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kalorili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diyet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insülin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duyarlılığını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artırırken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glukoz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seviyelerinin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düzenlenmesine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yardımcı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olur</w:t>
      </w:r>
      <w:proofErr w:type="spellEnd"/>
      <w:r w:rsidRPr="00064689">
        <w:rPr>
          <w:b/>
          <w:bCs/>
        </w:rPr>
        <w:t xml:space="preserve"> (</w:t>
      </w:r>
      <w:proofErr w:type="spellStart"/>
      <w:r w:rsidRPr="00064689">
        <w:rPr>
          <w:b/>
          <w:bCs/>
        </w:rPr>
        <w:t>Okburan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Büyükkaragöz</w:t>
      </w:r>
      <w:proofErr w:type="spellEnd"/>
      <w:r w:rsidRPr="00064689">
        <w:rPr>
          <w:b/>
          <w:bCs/>
        </w:rPr>
        <w:t xml:space="preserve">, 2018).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düşük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kalorili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diyetlerin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kardiyovasküler</w:t>
      </w:r>
      <w:proofErr w:type="spellEnd"/>
      <w:r w:rsidRPr="00064689">
        <w:rPr>
          <w:b/>
          <w:bCs/>
        </w:rPr>
        <w:t xml:space="preserve"> risk </w:t>
      </w:r>
      <w:proofErr w:type="spellStart"/>
      <w:r w:rsidRPr="00064689">
        <w:rPr>
          <w:b/>
          <w:bCs/>
        </w:rPr>
        <w:t>faktörleri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üzerindeki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olumlu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etkileri</w:t>
      </w:r>
      <w:proofErr w:type="spellEnd"/>
      <w:r w:rsidRPr="00064689">
        <w:rPr>
          <w:b/>
          <w:bCs/>
        </w:rPr>
        <w:t xml:space="preserve"> de </w:t>
      </w:r>
      <w:proofErr w:type="spellStart"/>
      <w:r w:rsidRPr="00064689">
        <w:rPr>
          <w:b/>
          <w:bCs/>
        </w:rPr>
        <w:t>dikkat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çekicidir</w:t>
      </w:r>
      <w:proofErr w:type="spellEnd"/>
      <w:r w:rsidRPr="00064689">
        <w:rPr>
          <w:b/>
          <w:bCs/>
        </w:rPr>
        <w:t xml:space="preserve">. Diyet </w:t>
      </w:r>
      <w:proofErr w:type="spellStart"/>
      <w:r w:rsidRPr="00064689">
        <w:rPr>
          <w:b/>
          <w:bCs/>
        </w:rPr>
        <w:t>tedavisi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bireyin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günlük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rutinine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kolayca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entegre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edilebilecek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şekilde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planlanmalıdır</w:t>
      </w:r>
      <w:proofErr w:type="spellEnd"/>
      <w:r w:rsidRPr="00064689">
        <w:rPr>
          <w:b/>
          <w:bCs/>
        </w:rPr>
        <w:t>.</w:t>
      </w:r>
    </w:p>
    <w:p w14:paraId="01EC22A9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pict w14:anchorId="3E820754">
          <v:rect id="_x0000_i1212" style="width:0;height:1.5pt" o:hralign="center" o:hrstd="t" o:hr="t" fillcolor="#a0a0a0" stroked="f"/>
        </w:pict>
      </w:r>
    </w:p>
    <w:p w14:paraId="5AFA558E" w14:textId="77777777" w:rsidR="00064689" w:rsidRPr="00064689" w:rsidRDefault="00064689" w:rsidP="00064689">
      <w:pPr>
        <w:rPr>
          <w:b/>
          <w:bCs/>
        </w:rPr>
      </w:pPr>
      <w:r w:rsidRPr="00064689">
        <w:rPr>
          <w:b/>
          <w:bCs/>
        </w:rPr>
        <w:t>BESLENME STRATEJİLERİ VE UYGULAMALAR</w:t>
      </w:r>
    </w:p>
    <w:p w14:paraId="50B11037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Karbonhidrat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Kontrolü</w:t>
      </w:r>
      <w:proofErr w:type="spellEnd"/>
    </w:p>
    <w:p w14:paraId="33C7E07A" w14:textId="77777777" w:rsidR="00064689" w:rsidRPr="00064689" w:rsidRDefault="00064689" w:rsidP="00064689">
      <w:pPr>
        <w:rPr>
          <w:b/>
          <w:bCs/>
        </w:rPr>
      </w:pPr>
      <w:proofErr w:type="spellStart"/>
      <w:r w:rsidRPr="00064689">
        <w:rPr>
          <w:b/>
          <w:bCs/>
        </w:rPr>
        <w:t>Karbonhidrat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tüketiminin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düzenlenmesi</w:t>
      </w:r>
      <w:proofErr w:type="spellEnd"/>
      <w:r w:rsidRPr="00064689">
        <w:rPr>
          <w:b/>
          <w:bCs/>
        </w:rPr>
        <w:t xml:space="preserve">, tip 2 </w:t>
      </w:r>
      <w:proofErr w:type="spellStart"/>
      <w:r w:rsidRPr="00064689">
        <w:rPr>
          <w:b/>
          <w:bCs/>
        </w:rPr>
        <w:t>diyabet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yönetiminde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temel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yaklaşımdır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Düşük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indeksli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karbonhidrat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kaynakları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kan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şekeri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dalgalanmalarını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azaltarak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uzun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vadede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daha</w:t>
      </w:r>
      <w:proofErr w:type="spellEnd"/>
      <w:r w:rsidRPr="00064689">
        <w:rPr>
          <w:b/>
          <w:bCs/>
        </w:rPr>
        <w:t xml:space="preserve"> iyi </w:t>
      </w:r>
      <w:proofErr w:type="spellStart"/>
      <w:r w:rsidRPr="00064689">
        <w:rPr>
          <w:b/>
          <w:bCs/>
        </w:rPr>
        <w:t>glisemik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kontrol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sağlar</w:t>
      </w:r>
      <w:proofErr w:type="spellEnd"/>
      <w:r w:rsidRPr="00064689">
        <w:rPr>
          <w:b/>
          <w:bCs/>
        </w:rPr>
        <w:t xml:space="preserve">. </w:t>
      </w:r>
      <w:proofErr w:type="spellStart"/>
      <w:r w:rsidRPr="00064689">
        <w:rPr>
          <w:b/>
          <w:bCs/>
        </w:rPr>
        <w:t>Nişastasız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sebzeler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tam </w:t>
      </w:r>
      <w:proofErr w:type="spellStart"/>
      <w:r w:rsidRPr="00064689">
        <w:rPr>
          <w:b/>
          <w:bCs/>
        </w:rPr>
        <w:t>tahıllar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gibi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rafine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edilmemiş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karbonhidratlar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diyetin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temel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bileşenleri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arasında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yer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almalıdır</w:t>
      </w:r>
      <w:proofErr w:type="spellEnd"/>
      <w:r w:rsidRPr="00064689">
        <w:rPr>
          <w:b/>
          <w:bCs/>
        </w:rPr>
        <w:t xml:space="preserve"> (Turan </w:t>
      </w:r>
      <w:proofErr w:type="spellStart"/>
      <w:r w:rsidRPr="00064689">
        <w:rPr>
          <w:b/>
          <w:bCs/>
        </w:rPr>
        <w:t>ve</w:t>
      </w:r>
      <w:proofErr w:type="spellEnd"/>
      <w:r w:rsidRPr="00064689">
        <w:rPr>
          <w:b/>
          <w:bCs/>
        </w:rPr>
        <w:t xml:space="preserve"> ark., 2015). </w:t>
      </w:r>
      <w:proofErr w:type="spellStart"/>
      <w:r w:rsidRPr="00064689">
        <w:rPr>
          <w:b/>
          <w:bCs/>
        </w:rPr>
        <w:t>Ayrıca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karbonhidratların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uygun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zamanlamayla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tüketilmesi</w:t>
      </w:r>
      <w:proofErr w:type="spellEnd"/>
      <w:r w:rsidRPr="00064689">
        <w:rPr>
          <w:b/>
          <w:bCs/>
        </w:rPr>
        <w:t xml:space="preserve">, </w:t>
      </w:r>
      <w:proofErr w:type="spellStart"/>
      <w:r w:rsidRPr="00064689">
        <w:rPr>
          <w:b/>
          <w:bCs/>
        </w:rPr>
        <w:t>postprandiyal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hiperglisemiyi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önlemekte</w:t>
      </w:r>
      <w:proofErr w:type="spellEnd"/>
      <w:r w:rsidRPr="00064689">
        <w:rPr>
          <w:b/>
          <w:bCs/>
        </w:rPr>
        <w:t xml:space="preserve"> </w:t>
      </w:r>
      <w:proofErr w:type="spellStart"/>
      <w:r w:rsidRPr="00064689">
        <w:rPr>
          <w:b/>
          <w:bCs/>
        </w:rPr>
        <w:t>etkilidir</w:t>
      </w:r>
      <w:proofErr w:type="spellEnd"/>
    </w:p>
    <w:p w14:paraId="1BC5EE55" w14:textId="77777777" w:rsidR="003B0A2D" w:rsidRPr="003B0A2D" w:rsidRDefault="003B0A2D" w:rsidP="003B0A2D">
      <w:pPr>
        <w:rPr>
          <w:b/>
          <w:bCs/>
        </w:rPr>
      </w:pPr>
      <w:r w:rsidRPr="003B0A2D">
        <w:rPr>
          <w:b/>
          <w:bCs/>
        </w:rPr>
        <w:t xml:space="preserve">Protein </w:t>
      </w:r>
      <w:proofErr w:type="spellStart"/>
      <w:r w:rsidRPr="003B0A2D">
        <w:rPr>
          <w:b/>
          <w:bCs/>
        </w:rPr>
        <w:t>ve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Yağ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Dengesi</w:t>
      </w:r>
      <w:proofErr w:type="spellEnd"/>
    </w:p>
    <w:p w14:paraId="1354EC34" w14:textId="77777777" w:rsidR="003B0A2D" w:rsidRPr="003B0A2D" w:rsidRDefault="003B0A2D" w:rsidP="003B0A2D">
      <w:pPr>
        <w:rPr>
          <w:b/>
          <w:bCs/>
        </w:rPr>
      </w:pPr>
      <w:r w:rsidRPr="003B0A2D">
        <w:rPr>
          <w:b/>
          <w:bCs/>
        </w:rPr>
        <w:t xml:space="preserve">Protein </w:t>
      </w:r>
      <w:proofErr w:type="spellStart"/>
      <w:r w:rsidRPr="003B0A2D">
        <w:rPr>
          <w:b/>
          <w:bCs/>
        </w:rPr>
        <w:t>alımı</w:t>
      </w:r>
      <w:proofErr w:type="spellEnd"/>
      <w:r w:rsidRPr="003B0A2D">
        <w:rPr>
          <w:b/>
          <w:bCs/>
        </w:rPr>
        <w:t xml:space="preserve">, </w:t>
      </w:r>
      <w:proofErr w:type="spellStart"/>
      <w:r w:rsidRPr="003B0A2D">
        <w:rPr>
          <w:b/>
          <w:bCs/>
        </w:rPr>
        <w:t>kan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şekeri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üzerinde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düşük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etkisi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nedeniyle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diyabet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yönetiminde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güvenli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bir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enerji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kaynağıdır</w:t>
      </w:r>
      <w:proofErr w:type="spellEnd"/>
      <w:r w:rsidRPr="003B0A2D">
        <w:rPr>
          <w:b/>
          <w:bCs/>
        </w:rPr>
        <w:t xml:space="preserve">. </w:t>
      </w:r>
      <w:proofErr w:type="spellStart"/>
      <w:r w:rsidRPr="003B0A2D">
        <w:rPr>
          <w:b/>
          <w:bCs/>
        </w:rPr>
        <w:t>Bununla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birlikte</w:t>
      </w:r>
      <w:proofErr w:type="spellEnd"/>
      <w:r w:rsidRPr="003B0A2D">
        <w:rPr>
          <w:b/>
          <w:bCs/>
        </w:rPr>
        <w:t xml:space="preserve">, </w:t>
      </w:r>
      <w:proofErr w:type="spellStart"/>
      <w:r w:rsidRPr="003B0A2D">
        <w:rPr>
          <w:b/>
          <w:bCs/>
        </w:rPr>
        <w:t>yağ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tüketimi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dikkatlice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planlanmalı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ve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özellikle</w:t>
      </w:r>
      <w:proofErr w:type="spellEnd"/>
      <w:r w:rsidRPr="003B0A2D">
        <w:rPr>
          <w:b/>
          <w:bCs/>
        </w:rPr>
        <w:t xml:space="preserve"> trans </w:t>
      </w:r>
      <w:proofErr w:type="spellStart"/>
      <w:r w:rsidRPr="003B0A2D">
        <w:rPr>
          <w:b/>
          <w:bCs/>
        </w:rPr>
        <w:t>yağlardan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kaçınılmalıdır</w:t>
      </w:r>
      <w:proofErr w:type="spellEnd"/>
      <w:r w:rsidRPr="003B0A2D">
        <w:rPr>
          <w:b/>
          <w:bCs/>
        </w:rPr>
        <w:t xml:space="preserve">. Omega-3 </w:t>
      </w:r>
      <w:proofErr w:type="spellStart"/>
      <w:r w:rsidRPr="003B0A2D">
        <w:rPr>
          <w:b/>
          <w:bCs/>
        </w:rPr>
        <w:t>yağ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asitleri</w:t>
      </w:r>
      <w:proofErr w:type="spellEnd"/>
      <w:r w:rsidRPr="003B0A2D">
        <w:rPr>
          <w:b/>
          <w:bCs/>
        </w:rPr>
        <w:t xml:space="preserve">, </w:t>
      </w:r>
      <w:proofErr w:type="spellStart"/>
      <w:r w:rsidRPr="003B0A2D">
        <w:rPr>
          <w:b/>
          <w:bCs/>
        </w:rPr>
        <w:t>enflamasyonu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azaltarak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diyabetle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ilişkili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komplikasyonların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riskini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düşürebilir</w:t>
      </w:r>
      <w:proofErr w:type="spellEnd"/>
      <w:r w:rsidRPr="003B0A2D">
        <w:rPr>
          <w:b/>
          <w:bCs/>
        </w:rPr>
        <w:t xml:space="preserve"> (</w:t>
      </w:r>
      <w:proofErr w:type="spellStart"/>
      <w:r w:rsidRPr="003B0A2D">
        <w:rPr>
          <w:b/>
          <w:bCs/>
        </w:rPr>
        <w:t>Karslıoğlu</w:t>
      </w:r>
      <w:proofErr w:type="spellEnd"/>
      <w:r w:rsidRPr="003B0A2D">
        <w:rPr>
          <w:b/>
          <w:bCs/>
        </w:rPr>
        <w:t xml:space="preserve">, 2019). </w:t>
      </w:r>
      <w:proofErr w:type="spellStart"/>
      <w:r w:rsidRPr="003B0A2D">
        <w:rPr>
          <w:b/>
          <w:bCs/>
        </w:rPr>
        <w:t>Ayrıca</w:t>
      </w:r>
      <w:proofErr w:type="spellEnd"/>
      <w:r w:rsidRPr="003B0A2D">
        <w:rPr>
          <w:b/>
          <w:bCs/>
        </w:rPr>
        <w:t xml:space="preserve">, </w:t>
      </w:r>
      <w:proofErr w:type="spellStart"/>
      <w:r w:rsidRPr="003B0A2D">
        <w:rPr>
          <w:b/>
          <w:bCs/>
        </w:rPr>
        <w:t>doymamış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yağ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asitlerinin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glukoz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metabolizması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üzerindeki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olumlu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etkileri</w:t>
      </w:r>
      <w:proofErr w:type="spellEnd"/>
      <w:r w:rsidRPr="003B0A2D">
        <w:rPr>
          <w:b/>
          <w:bCs/>
        </w:rPr>
        <w:t xml:space="preserve"> de </w:t>
      </w:r>
      <w:proofErr w:type="spellStart"/>
      <w:r w:rsidRPr="003B0A2D">
        <w:rPr>
          <w:b/>
          <w:bCs/>
        </w:rPr>
        <w:t>vurgulanmaktadır</w:t>
      </w:r>
      <w:proofErr w:type="spellEnd"/>
      <w:r w:rsidRPr="003B0A2D">
        <w:rPr>
          <w:b/>
          <w:bCs/>
        </w:rPr>
        <w:t>.</w:t>
      </w:r>
    </w:p>
    <w:p w14:paraId="3BF638A5" w14:textId="77777777" w:rsidR="003B0A2D" w:rsidRPr="003B0A2D" w:rsidRDefault="003B0A2D" w:rsidP="003B0A2D">
      <w:pPr>
        <w:rPr>
          <w:b/>
          <w:bCs/>
        </w:rPr>
      </w:pPr>
      <w:proofErr w:type="spellStart"/>
      <w:r w:rsidRPr="003B0A2D">
        <w:rPr>
          <w:b/>
          <w:bCs/>
        </w:rPr>
        <w:t>Posa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ve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Mikrobesinler</w:t>
      </w:r>
      <w:proofErr w:type="spellEnd"/>
    </w:p>
    <w:p w14:paraId="6FE7DCCB" w14:textId="77777777" w:rsidR="003B0A2D" w:rsidRPr="003B0A2D" w:rsidRDefault="003B0A2D" w:rsidP="003B0A2D">
      <w:pPr>
        <w:rPr>
          <w:b/>
          <w:bCs/>
        </w:rPr>
      </w:pPr>
      <w:r w:rsidRPr="003B0A2D">
        <w:rPr>
          <w:b/>
          <w:bCs/>
        </w:rPr>
        <w:lastRenderedPageBreak/>
        <w:t xml:space="preserve">Lif </w:t>
      </w:r>
      <w:proofErr w:type="spellStart"/>
      <w:r w:rsidRPr="003B0A2D">
        <w:rPr>
          <w:b/>
          <w:bCs/>
        </w:rPr>
        <w:t>içeriği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yüksek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diyetler</w:t>
      </w:r>
      <w:proofErr w:type="spellEnd"/>
      <w:r w:rsidRPr="003B0A2D">
        <w:rPr>
          <w:b/>
          <w:bCs/>
        </w:rPr>
        <w:t xml:space="preserve">, hem </w:t>
      </w:r>
      <w:proofErr w:type="spellStart"/>
      <w:r w:rsidRPr="003B0A2D">
        <w:rPr>
          <w:b/>
          <w:bCs/>
        </w:rPr>
        <w:t>kan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şekeri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kontrolü</w:t>
      </w:r>
      <w:proofErr w:type="spellEnd"/>
      <w:r w:rsidRPr="003B0A2D">
        <w:rPr>
          <w:b/>
          <w:bCs/>
        </w:rPr>
        <w:t xml:space="preserve"> hem de </w:t>
      </w:r>
      <w:proofErr w:type="spellStart"/>
      <w:r w:rsidRPr="003B0A2D">
        <w:rPr>
          <w:b/>
          <w:bCs/>
        </w:rPr>
        <w:t>bağırsak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sağlığı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için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önemlidir</w:t>
      </w:r>
      <w:proofErr w:type="spellEnd"/>
      <w:r w:rsidRPr="003B0A2D">
        <w:rPr>
          <w:b/>
          <w:bCs/>
        </w:rPr>
        <w:t xml:space="preserve">. </w:t>
      </w:r>
      <w:proofErr w:type="spellStart"/>
      <w:r w:rsidRPr="003B0A2D">
        <w:rPr>
          <w:b/>
          <w:bCs/>
        </w:rPr>
        <w:t>Diyetin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yeterli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miktarda</w:t>
      </w:r>
      <w:proofErr w:type="spellEnd"/>
      <w:r w:rsidRPr="003B0A2D">
        <w:rPr>
          <w:b/>
          <w:bCs/>
        </w:rPr>
        <w:t xml:space="preserve"> vitamin </w:t>
      </w:r>
      <w:proofErr w:type="spellStart"/>
      <w:r w:rsidRPr="003B0A2D">
        <w:rPr>
          <w:b/>
          <w:bCs/>
        </w:rPr>
        <w:t>ve</w:t>
      </w:r>
      <w:proofErr w:type="spellEnd"/>
      <w:r w:rsidRPr="003B0A2D">
        <w:rPr>
          <w:b/>
          <w:bCs/>
        </w:rPr>
        <w:t xml:space="preserve"> mineral </w:t>
      </w:r>
      <w:proofErr w:type="spellStart"/>
      <w:r w:rsidRPr="003B0A2D">
        <w:rPr>
          <w:b/>
          <w:bCs/>
        </w:rPr>
        <w:t>içermesi</w:t>
      </w:r>
      <w:proofErr w:type="spellEnd"/>
      <w:r w:rsidRPr="003B0A2D">
        <w:rPr>
          <w:b/>
          <w:bCs/>
        </w:rPr>
        <w:t xml:space="preserve">, </w:t>
      </w:r>
      <w:proofErr w:type="spellStart"/>
      <w:r w:rsidRPr="003B0A2D">
        <w:rPr>
          <w:b/>
          <w:bCs/>
        </w:rPr>
        <w:t>metabolik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dengeyi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korumada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kritik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bir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rol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oynar</w:t>
      </w:r>
      <w:proofErr w:type="spellEnd"/>
      <w:r w:rsidRPr="003B0A2D">
        <w:rPr>
          <w:b/>
          <w:bCs/>
        </w:rPr>
        <w:t xml:space="preserve"> (</w:t>
      </w:r>
      <w:proofErr w:type="spellStart"/>
      <w:r w:rsidRPr="003B0A2D">
        <w:rPr>
          <w:b/>
          <w:bCs/>
        </w:rPr>
        <w:t>Okburan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ve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Büyükkaragöz</w:t>
      </w:r>
      <w:proofErr w:type="spellEnd"/>
      <w:r w:rsidRPr="003B0A2D">
        <w:rPr>
          <w:b/>
          <w:bCs/>
        </w:rPr>
        <w:t xml:space="preserve">, 2018). </w:t>
      </w:r>
      <w:proofErr w:type="spellStart"/>
      <w:r w:rsidRPr="003B0A2D">
        <w:rPr>
          <w:b/>
          <w:bCs/>
        </w:rPr>
        <w:t>Özellikle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magnezyum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ve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çinko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gibi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minerallerin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insülin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duyarlılığı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üzerindeki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etkisi</w:t>
      </w:r>
      <w:proofErr w:type="spellEnd"/>
      <w:r w:rsidRPr="003B0A2D">
        <w:rPr>
          <w:b/>
          <w:bCs/>
        </w:rPr>
        <w:t xml:space="preserve"> </w:t>
      </w:r>
      <w:proofErr w:type="spellStart"/>
      <w:r w:rsidRPr="003B0A2D">
        <w:rPr>
          <w:b/>
          <w:bCs/>
        </w:rPr>
        <w:t>büyüktür</w:t>
      </w:r>
      <w:proofErr w:type="spellEnd"/>
      <w:r w:rsidRPr="003B0A2D">
        <w:rPr>
          <w:b/>
          <w:bCs/>
        </w:rPr>
        <w:t>.</w:t>
      </w:r>
    </w:p>
    <w:p w14:paraId="2D0E4332" w14:textId="7C446484" w:rsidR="003B0A2D" w:rsidRDefault="003B0A2D" w:rsidP="003B0A2D">
      <w:pPr>
        <w:rPr>
          <w:b/>
          <w:bCs/>
        </w:rPr>
      </w:pPr>
    </w:p>
    <w:p w14:paraId="359D3D42" w14:textId="77777777" w:rsidR="00B165EA" w:rsidRPr="00B165EA" w:rsidRDefault="00B165EA" w:rsidP="00B165EA">
      <w:pPr>
        <w:rPr>
          <w:b/>
          <w:bCs/>
        </w:rPr>
      </w:pPr>
      <w:proofErr w:type="spellStart"/>
      <w:r w:rsidRPr="00B165EA">
        <w:rPr>
          <w:b/>
          <w:bCs/>
        </w:rPr>
        <w:t>Sonuç</w:t>
      </w:r>
      <w:proofErr w:type="spellEnd"/>
    </w:p>
    <w:p w14:paraId="6C43DA4D" w14:textId="77777777" w:rsidR="00B165EA" w:rsidRPr="00B165EA" w:rsidRDefault="00B165EA" w:rsidP="00B165EA">
      <w:pPr>
        <w:rPr>
          <w:b/>
          <w:bCs/>
        </w:rPr>
      </w:pPr>
      <w:r w:rsidRPr="00B165EA">
        <w:rPr>
          <w:b/>
          <w:bCs/>
        </w:rPr>
        <w:t xml:space="preserve">Tip 2 </w:t>
      </w:r>
      <w:proofErr w:type="spellStart"/>
      <w:r w:rsidRPr="00B165EA">
        <w:rPr>
          <w:b/>
          <w:bCs/>
        </w:rPr>
        <w:t>diyabet</w:t>
      </w:r>
      <w:proofErr w:type="spellEnd"/>
      <w:r w:rsidRPr="00B165EA">
        <w:rPr>
          <w:b/>
          <w:bCs/>
        </w:rPr>
        <w:t xml:space="preserve">, </w:t>
      </w:r>
      <w:proofErr w:type="spellStart"/>
      <w:r w:rsidRPr="00B165EA">
        <w:rPr>
          <w:b/>
          <w:bCs/>
        </w:rPr>
        <w:t>günümüzde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toplum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sağlığı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üzerinde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ciddi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bir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yük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oluşturan</w:t>
      </w:r>
      <w:proofErr w:type="spellEnd"/>
      <w:r w:rsidRPr="00B165EA">
        <w:rPr>
          <w:b/>
          <w:bCs/>
        </w:rPr>
        <w:t xml:space="preserve">, </w:t>
      </w:r>
      <w:proofErr w:type="spellStart"/>
      <w:r w:rsidRPr="00B165EA">
        <w:rPr>
          <w:b/>
          <w:bCs/>
        </w:rPr>
        <w:t>ancak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doğru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beslenme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yaşam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tarzı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değişiklikleri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ile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yönetilebilecek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bir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hastalıktır</w:t>
      </w:r>
      <w:proofErr w:type="spellEnd"/>
      <w:r w:rsidRPr="00B165EA">
        <w:rPr>
          <w:b/>
          <w:bCs/>
        </w:rPr>
        <w:t xml:space="preserve">. </w:t>
      </w:r>
      <w:proofErr w:type="spellStart"/>
      <w:r w:rsidRPr="00B165EA">
        <w:rPr>
          <w:b/>
          <w:bCs/>
        </w:rPr>
        <w:t>Tıbbi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beslenme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tedavisi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düzenli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fiziksel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aktivite</w:t>
      </w:r>
      <w:proofErr w:type="spellEnd"/>
      <w:r w:rsidRPr="00B165EA">
        <w:rPr>
          <w:b/>
          <w:bCs/>
        </w:rPr>
        <w:t xml:space="preserve">, </w:t>
      </w:r>
      <w:proofErr w:type="spellStart"/>
      <w:r w:rsidRPr="00B165EA">
        <w:rPr>
          <w:b/>
          <w:bCs/>
        </w:rPr>
        <w:t>kan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glukoz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düzeylerini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kontrol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altında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tutmanın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yanı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sıra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komplikasyon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risklerini</w:t>
      </w:r>
      <w:proofErr w:type="spellEnd"/>
      <w:r w:rsidRPr="00B165EA">
        <w:rPr>
          <w:b/>
          <w:bCs/>
        </w:rPr>
        <w:t xml:space="preserve"> de </w:t>
      </w:r>
      <w:proofErr w:type="spellStart"/>
      <w:r w:rsidRPr="00B165EA">
        <w:rPr>
          <w:b/>
          <w:bCs/>
        </w:rPr>
        <w:t>azaltmaktadır</w:t>
      </w:r>
      <w:proofErr w:type="spellEnd"/>
      <w:r w:rsidRPr="00B165EA">
        <w:rPr>
          <w:b/>
          <w:bCs/>
        </w:rPr>
        <w:t xml:space="preserve">. </w:t>
      </w:r>
      <w:proofErr w:type="spellStart"/>
      <w:r w:rsidRPr="00B165EA">
        <w:rPr>
          <w:b/>
          <w:bCs/>
        </w:rPr>
        <w:t>Diyabet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yönetiminde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bireyselleştirilmiş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yaklaşımlar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güncel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bilimsel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bulguların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uygulanması</w:t>
      </w:r>
      <w:proofErr w:type="spellEnd"/>
      <w:r w:rsidRPr="00B165EA">
        <w:rPr>
          <w:b/>
          <w:bCs/>
        </w:rPr>
        <w:t xml:space="preserve">, </w:t>
      </w:r>
      <w:proofErr w:type="spellStart"/>
      <w:r w:rsidRPr="00B165EA">
        <w:rPr>
          <w:b/>
          <w:bCs/>
        </w:rPr>
        <w:t>hastaların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yaşam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kalitesini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artırmada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kritik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bir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rol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oynamaktadır</w:t>
      </w:r>
      <w:proofErr w:type="spellEnd"/>
      <w:r w:rsidRPr="00B165EA">
        <w:rPr>
          <w:b/>
          <w:bCs/>
        </w:rPr>
        <w:t xml:space="preserve">. </w:t>
      </w:r>
      <w:proofErr w:type="spellStart"/>
      <w:r w:rsidRPr="00B165EA">
        <w:rPr>
          <w:b/>
          <w:bCs/>
        </w:rPr>
        <w:t>Gelecekte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yapılacak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daha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kapsamlı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araştırmalar</w:t>
      </w:r>
      <w:proofErr w:type="spellEnd"/>
      <w:r w:rsidRPr="00B165EA">
        <w:rPr>
          <w:b/>
          <w:bCs/>
        </w:rPr>
        <w:t xml:space="preserve">, </w:t>
      </w:r>
      <w:proofErr w:type="spellStart"/>
      <w:r w:rsidRPr="00B165EA">
        <w:rPr>
          <w:b/>
          <w:bCs/>
        </w:rPr>
        <w:t>diyabetin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önlenmesi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yönetimi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için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yenilikçi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stratejiler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geliştirilmesine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katkı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sağlayacaktır</w:t>
      </w:r>
      <w:proofErr w:type="spellEnd"/>
      <w:r w:rsidRPr="00B165EA">
        <w:rPr>
          <w:b/>
          <w:bCs/>
        </w:rPr>
        <w:t>.</w:t>
      </w:r>
    </w:p>
    <w:p w14:paraId="021AA733" w14:textId="77777777" w:rsidR="00B165EA" w:rsidRPr="00B165EA" w:rsidRDefault="00B165EA" w:rsidP="00B165EA">
      <w:pPr>
        <w:rPr>
          <w:b/>
          <w:bCs/>
        </w:rPr>
      </w:pPr>
      <w:proofErr w:type="spellStart"/>
      <w:r w:rsidRPr="00B165EA">
        <w:rPr>
          <w:b/>
          <w:bCs/>
        </w:rPr>
        <w:t>Kaynakça</w:t>
      </w:r>
      <w:proofErr w:type="spellEnd"/>
    </w:p>
    <w:p w14:paraId="538D004E" w14:textId="77777777" w:rsidR="00B165EA" w:rsidRPr="00B165EA" w:rsidRDefault="00B165EA" w:rsidP="00B165EA">
      <w:pPr>
        <w:numPr>
          <w:ilvl w:val="0"/>
          <w:numId w:val="2"/>
        </w:numPr>
        <w:rPr>
          <w:b/>
          <w:bCs/>
        </w:rPr>
      </w:pPr>
      <w:proofErr w:type="spellStart"/>
      <w:r w:rsidRPr="00B165EA">
        <w:rPr>
          <w:b/>
          <w:bCs/>
        </w:rPr>
        <w:t>Karslıoğlu</w:t>
      </w:r>
      <w:proofErr w:type="spellEnd"/>
      <w:r w:rsidRPr="00B165EA">
        <w:rPr>
          <w:b/>
          <w:bCs/>
        </w:rPr>
        <w:t xml:space="preserve">, H. (2019). </w:t>
      </w:r>
      <w:proofErr w:type="spellStart"/>
      <w:r w:rsidRPr="00B165EA">
        <w:rPr>
          <w:b/>
          <w:bCs/>
        </w:rPr>
        <w:t>Obezite</w:t>
      </w:r>
      <w:proofErr w:type="spellEnd"/>
      <w:r w:rsidRPr="00B165EA">
        <w:rPr>
          <w:b/>
          <w:bCs/>
        </w:rPr>
        <w:t xml:space="preserve">, Tip 2 </w:t>
      </w:r>
      <w:proofErr w:type="spellStart"/>
      <w:r w:rsidRPr="00B165EA">
        <w:rPr>
          <w:b/>
          <w:bCs/>
        </w:rPr>
        <w:t>Diyabet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Beslenme</w:t>
      </w:r>
      <w:proofErr w:type="spellEnd"/>
      <w:r w:rsidRPr="00B165EA">
        <w:rPr>
          <w:b/>
          <w:bCs/>
        </w:rPr>
        <w:t xml:space="preserve">. </w:t>
      </w:r>
      <w:proofErr w:type="spellStart"/>
      <w:r w:rsidRPr="00B165EA">
        <w:rPr>
          <w:b/>
          <w:bCs/>
        </w:rPr>
        <w:t>Klinik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Tıp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Bilimleri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Dergisi</w:t>
      </w:r>
      <w:proofErr w:type="spellEnd"/>
      <w:r w:rsidRPr="00B165EA">
        <w:rPr>
          <w:b/>
          <w:bCs/>
        </w:rPr>
        <w:t>, 7(3), 36-43.</w:t>
      </w:r>
    </w:p>
    <w:p w14:paraId="635193B1" w14:textId="77777777" w:rsidR="00B165EA" w:rsidRPr="00B165EA" w:rsidRDefault="00B165EA" w:rsidP="00B165EA">
      <w:pPr>
        <w:numPr>
          <w:ilvl w:val="0"/>
          <w:numId w:val="2"/>
        </w:numPr>
        <w:rPr>
          <w:b/>
          <w:bCs/>
        </w:rPr>
      </w:pPr>
      <w:proofErr w:type="spellStart"/>
      <w:r w:rsidRPr="00B165EA">
        <w:rPr>
          <w:b/>
          <w:bCs/>
        </w:rPr>
        <w:t>Okburan</w:t>
      </w:r>
      <w:proofErr w:type="spellEnd"/>
      <w:r w:rsidRPr="00B165EA">
        <w:rPr>
          <w:b/>
          <w:bCs/>
        </w:rPr>
        <w:t xml:space="preserve">, G., &amp; </w:t>
      </w:r>
      <w:proofErr w:type="spellStart"/>
      <w:r w:rsidRPr="00B165EA">
        <w:rPr>
          <w:b/>
          <w:bCs/>
        </w:rPr>
        <w:t>Büyükkaragöz</w:t>
      </w:r>
      <w:proofErr w:type="spellEnd"/>
      <w:r w:rsidRPr="00B165EA">
        <w:rPr>
          <w:b/>
          <w:bCs/>
        </w:rPr>
        <w:t xml:space="preserve">, A. H. (2018). Tip 2 </w:t>
      </w:r>
      <w:proofErr w:type="spellStart"/>
      <w:r w:rsidRPr="00B165EA">
        <w:rPr>
          <w:b/>
          <w:bCs/>
        </w:rPr>
        <w:t>Diyabet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Tedavisinde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Yaşam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Tarzı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Değişikliği</w:t>
      </w:r>
      <w:proofErr w:type="spellEnd"/>
      <w:r w:rsidRPr="00B165EA">
        <w:rPr>
          <w:b/>
          <w:bCs/>
        </w:rPr>
        <w:t xml:space="preserve"> - </w:t>
      </w:r>
      <w:proofErr w:type="spellStart"/>
      <w:r w:rsidRPr="00B165EA">
        <w:rPr>
          <w:b/>
          <w:bCs/>
        </w:rPr>
        <w:t>Beslenme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Fiziksel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Aktivite</w:t>
      </w:r>
      <w:proofErr w:type="spellEnd"/>
      <w:r w:rsidRPr="00B165EA">
        <w:rPr>
          <w:b/>
          <w:bCs/>
        </w:rPr>
        <w:t xml:space="preserve">. </w:t>
      </w:r>
      <w:proofErr w:type="spellStart"/>
      <w:r w:rsidRPr="00B165EA">
        <w:rPr>
          <w:b/>
          <w:bCs/>
        </w:rPr>
        <w:t>Beslenme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ve</w:t>
      </w:r>
      <w:proofErr w:type="spellEnd"/>
      <w:r w:rsidRPr="00B165EA">
        <w:rPr>
          <w:b/>
          <w:bCs/>
        </w:rPr>
        <w:t xml:space="preserve"> Diyet </w:t>
      </w:r>
      <w:proofErr w:type="spellStart"/>
      <w:r w:rsidRPr="00B165EA">
        <w:rPr>
          <w:b/>
          <w:bCs/>
        </w:rPr>
        <w:t>Dergisi</w:t>
      </w:r>
      <w:proofErr w:type="spellEnd"/>
      <w:r w:rsidRPr="00B165EA">
        <w:rPr>
          <w:b/>
          <w:bCs/>
        </w:rPr>
        <w:t>, 46(3), 294-302.</w:t>
      </w:r>
    </w:p>
    <w:p w14:paraId="3A55F8F0" w14:textId="191CB94C" w:rsidR="00222D8A" w:rsidRPr="00B165EA" w:rsidRDefault="00B165EA" w:rsidP="003B0A2D">
      <w:pPr>
        <w:numPr>
          <w:ilvl w:val="0"/>
          <w:numId w:val="2"/>
        </w:numPr>
        <w:rPr>
          <w:b/>
          <w:bCs/>
        </w:rPr>
      </w:pPr>
      <w:r w:rsidRPr="00B165EA">
        <w:rPr>
          <w:b/>
          <w:bCs/>
        </w:rPr>
        <w:t xml:space="preserve">Turan, E., &amp; Kulaksızoğlu, M. (2015). Tip 2 </w:t>
      </w:r>
      <w:proofErr w:type="spellStart"/>
      <w:r w:rsidRPr="00B165EA">
        <w:rPr>
          <w:b/>
          <w:bCs/>
        </w:rPr>
        <w:t>Diyabet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Tedavisinde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Güncel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Yaklaşımlar</w:t>
      </w:r>
      <w:proofErr w:type="spellEnd"/>
      <w:r w:rsidRPr="00B165EA">
        <w:rPr>
          <w:b/>
          <w:bCs/>
        </w:rPr>
        <w:t xml:space="preserve">. </w:t>
      </w:r>
      <w:proofErr w:type="spellStart"/>
      <w:r w:rsidRPr="00B165EA">
        <w:rPr>
          <w:b/>
          <w:bCs/>
        </w:rPr>
        <w:t>Okmeydanı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Tıp</w:t>
      </w:r>
      <w:proofErr w:type="spellEnd"/>
      <w:r w:rsidRPr="00B165EA">
        <w:rPr>
          <w:b/>
          <w:bCs/>
        </w:rPr>
        <w:t xml:space="preserve"> </w:t>
      </w:r>
      <w:proofErr w:type="spellStart"/>
      <w:r w:rsidRPr="00B165EA">
        <w:rPr>
          <w:b/>
          <w:bCs/>
        </w:rPr>
        <w:t>Dergisi</w:t>
      </w:r>
      <w:proofErr w:type="spellEnd"/>
      <w:r w:rsidRPr="00B165EA">
        <w:rPr>
          <w:b/>
          <w:bCs/>
        </w:rPr>
        <w:t xml:space="preserve">, 31(Ek </w:t>
      </w:r>
      <w:proofErr w:type="spellStart"/>
      <w:r w:rsidRPr="00B165EA">
        <w:rPr>
          <w:b/>
          <w:bCs/>
        </w:rPr>
        <w:t>Sayı</w:t>
      </w:r>
      <w:proofErr w:type="spellEnd"/>
      <w:r w:rsidRPr="00B165EA">
        <w:rPr>
          <w:b/>
          <w:bCs/>
        </w:rPr>
        <w:t>), 86-94.</w:t>
      </w:r>
    </w:p>
    <w:sectPr w:rsidR="00222D8A" w:rsidRPr="00B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30E3"/>
    <w:multiLevelType w:val="multilevel"/>
    <w:tmpl w:val="71D4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C1AA1"/>
    <w:multiLevelType w:val="multilevel"/>
    <w:tmpl w:val="799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6129">
    <w:abstractNumId w:val="1"/>
  </w:num>
  <w:num w:numId="2" w16cid:durableId="95475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A"/>
    <w:rsid w:val="00064689"/>
    <w:rsid w:val="00222D8A"/>
    <w:rsid w:val="003B0A2D"/>
    <w:rsid w:val="009F3223"/>
    <w:rsid w:val="00B1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11569"/>
  <w15:chartTrackingRefBased/>
  <w15:docId w15:val="{A41C8F1A-B835-44C7-A6DA-98C28DDA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KALDIRIMCI, Suat</dc:creator>
  <cp:keywords/>
  <dc:description/>
  <cp:lastModifiedBy>KALDIRIMCI, Suat</cp:lastModifiedBy>
  <cp:revision>3</cp:revision>
  <dcterms:created xsi:type="dcterms:W3CDTF">2024-11-26T20:13:00Z</dcterms:created>
  <dcterms:modified xsi:type="dcterms:W3CDTF">2024-11-26T20:47:00Z</dcterms:modified>
</cp:coreProperties>
</file>