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Documento de Definição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Projeto</w:t>
      </w:r>
      <w:r w:rsidDel="00000000" w:rsidR="00000000" w:rsidRPr="00000000">
        <w:rPr>
          <w:rFonts w:ascii="Arial" w:cs="Arial" w:eastAsia="Arial" w:hAnsi="Arial"/>
          <w:rtl w:val="0"/>
        </w:rPr>
        <w:t xml:space="preserve">: Casamento Evellyn &amp; Sarah 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Responsáveis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Carlos Henrique, Isabella Chaves, </w:t>
      </w:r>
      <w:r w:rsidDel="00000000" w:rsidR="00000000" w:rsidRPr="00000000">
        <w:rPr>
          <w:rFonts w:ascii="Arial" w:cs="Arial" w:eastAsia="Arial" w:hAnsi="Arial"/>
          <w:rtl w:val="0"/>
        </w:rPr>
        <w:t xml:space="preserve">Laraynny</w:t>
      </w:r>
      <w:r w:rsidDel="00000000" w:rsidR="00000000" w:rsidRPr="00000000">
        <w:rPr>
          <w:rFonts w:ascii="Arial" w:cs="Arial" w:eastAsia="Arial" w:hAnsi="Arial"/>
          <w:rtl w:val="0"/>
        </w:rPr>
        <w:t xml:space="preserve"> Dalylla, Nohana Assis, Pedro Henrique Matos e Pedro Henrique Soares.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heading=h.3koubq7w4qd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 Introdução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apresenta os requisitos de usuário do sistema &lt;&lt;nome do sistema&gt;&gt; e está organizado da seguinte forma: a Seção 2 contém uma descrição do propósito do sistema; a Seção 3 apresenta uma descrição do projeto apresentando o problema; e a Seção 4 apresenta as listas de requisitos de usuário levantados junto ao cliente.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 Descrição do Propósito do Sistema</w:t>
      </w:r>
    </w:p>
    <w:p w:rsidR="00000000" w:rsidDel="00000000" w:rsidP="00000000" w:rsidRDefault="00000000" w:rsidRPr="00000000" w14:paraId="0000000E">
      <w:pPr>
        <w:widowControl w:val="0"/>
        <w:spacing w:before="273.66943359375" w:line="229.88847255706787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apresenta os requisitos para a elaboração do site de casamento do casal </w:t>
      </w:r>
      <w:r w:rsidDel="00000000" w:rsidR="00000000" w:rsidRPr="00000000">
        <w:rPr>
          <w:rFonts w:ascii="Arial" w:cs="Arial" w:eastAsia="Arial" w:hAnsi="Arial"/>
          <w:rtl w:val="0"/>
        </w:rPr>
        <w:t xml:space="preserve">Evellyn</w:t>
      </w:r>
      <w:r w:rsidDel="00000000" w:rsidR="00000000" w:rsidRPr="00000000">
        <w:rPr>
          <w:rFonts w:ascii="Arial" w:cs="Arial" w:eastAsia="Arial" w:hAnsi="Arial"/>
          <w:rtl w:val="0"/>
        </w:rPr>
        <w:t xml:space="preserve"> &amp; Sarah. O documento colabora para a estruturação do projeto, visando atender as exigências dos clientes.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 Descrição do Projeto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8.0" w:type="dxa"/>
        <w:jc w:val="left"/>
        <w:tblInd w:w="2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8838"/>
        <w:tblGridChange w:id="0">
          <w:tblGrid>
            <w:gridCol w:w="88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12">
            <w:pPr>
              <w:ind w:left="1" w:right="1" w:hanging="19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Descrição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widowControl w:val="0"/>
              <w:spacing w:line="229.88847255706787" w:lineRule="auto"/>
              <w:ind w:left="64.64004516601562" w:right="7.55126953125" w:firstLine="707.8799438476562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propõe a resolução dos problemas de comunicação entre os convidados e as noivas, esclarecendo os critérios para o grande dia. O site conta a história da Evellyn &amp; Sarah, causando um sentimento de pertencimento para as pessoas que vão participar do momento, apresenta o local, data, horário, dress code regras para o dia da união.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br w:type="textWrapping"/>
        <w:t xml:space="preserve">4. Requisitos de Usuário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08"/>
        <w:jc w:val="both"/>
        <w:rPr>
          <w:rFonts w:ascii="Arial" w:cs="Arial" w:eastAsia="Arial" w:hAnsi="Arial"/>
        </w:rPr>
        <w:sectPr>
          <w:footerReference r:id="rId7" w:type="default"/>
          <w:pgSz w:h="15840" w:w="12240" w:orient="portrait"/>
          <w:pgMar w:bottom="1417" w:top="720" w:left="1701" w:right="1701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rtl w:val="0"/>
        </w:rPr>
        <w:t xml:space="preserve">Tomando por base o contexto do sistema, foram identificados os seguintes requisitos de usuário:</w:t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Requisitos Funcionais</w:t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61.0" w:type="dxa"/>
        <w:jc w:val="left"/>
        <w:tblInd w:w="2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463"/>
        <w:gridCol w:w="6524"/>
        <w:gridCol w:w="2025"/>
        <w:gridCol w:w="2949"/>
        <w:tblGridChange w:id="0">
          <w:tblGrid>
            <w:gridCol w:w="1463"/>
            <w:gridCol w:w="6524"/>
            <w:gridCol w:w="2025"/>
            <w:gridCol w:w="294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1C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1D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1E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Depende  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Exibir uma seção dedicada à apresentação detalhada da história e trajetória das noivas.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Nenhuma dependência.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Exibir as informações do local, horário de recepção e início da cerimônia.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Nenhuma dependência.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Exibir o cardápio do evento, subdividido em Gastronomia e Sobremesas.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Nenhuma dependência.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Conter um elemento de destaque visual para a presença confirmada do show ao vivo do cantor Luan Santana.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Nenhuma dependência.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Conter um cronômetro de contagem regressiva dinâmica até a data do casamento para engajamento dos convidados.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RF02 - O cronômetro precisa do parâmetro de data/hora definido no RF02.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Disponibilizar um formulário para capturar os endereços dos convidados, visando a logística de envio dos convites oficiais.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Nenhuma dependência.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Exibir a lista de presentes, permitindo que o convidado selecione um item e realize o pagamento rápido via Pix.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Nenhuma dependência.</w:t>
            </w:r>
          </w:p>
        </w:tc>
      </w:tr>
    </w:tbl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Requisitos Não Funcionais</w:t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960.0" w:type="dxa"/>
        <w:jc w:val="left"/>
        <w:tblInd w:w="2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425"/>
        <w:gridCol w:w="3450"/>
        <w:gridCol w:w="2565"/>
        <w:gridCol w:w="1665"/>
        <w:gridCol w:w="1800"/>
        <w:gridCol w:w="2055"/>
        <w:tblGridChange w:id="0">
          <w:tblGrid>
            <w:gridCol w:w="1425"/>
            <w:gridCol w:w="3450"/>
            <w:gridCol w:w="2565"/>
            <w:gridCol w:w="1665"/>
            <w:gridCol w:w="1800"/>
            <w:gridCol w:w="20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42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43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44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Escopo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45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46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Depende  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RNF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layout deve utilizar exclusivamente a paleta de cores (Azul e Branco), apresentando um design refinado, customizado e com personalidade, afastando-se de templates genéricos.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&lt;&lt;valores possíveis: Interoperabilidade, Segurança de Acesso, Facilidade de Aprendizado, Facilidade de Operação, Atratividade, Eficiência em relação ao tempo, Disponibilidade, Manutenibilidade ou Portabilidade&gt;&gt;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Usabilidade/ Interface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Nenhuma dependência.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interface deve ser projetada para transmitir uma atmosfera acolhedora, familiar, de amor, alegria e paz.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Usabilidade/ Estética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RNF01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284.902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processo de pagamento de presentes deve ser focado na agilidade, garantindo uma transação rápida, prática e sem burocracias através do Pix.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Desempenho/ Eficiência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garantir a proteção e o sigilo dos dados de endereço coletados dos convidados, bem como a segurança nas transações financeiras.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Segurança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RF06, RF07 </w:t>
            </w:r>
          </w:p>
        </w:tc>
      </w:tr>
    </w:tbl>
    <w:p w:rsidR="00000000" w:rsidDel="00000000" w:rsidP="00000000" w:rsidRDefault="00000000" w:rsidRPr="00000000" w14:paraId="0000005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063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62.000000000004" w:type="dxa"/>
        <w:jc w:val="left"/>
        <w:tblInd w:w="2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538"/>
        <w:gridCol w:w="6431"/>
        <w:gridCol w:w="2062"/>
        <w:gridCol w:w="2931"/>
        <w:tblGridChange w:id="0">
          <w:tblGrid>
            <w:gridCol w:w="1538"/>
            <w:gridCol w:w="6431"/>
            <w:gridCol w:w="2062"/>
            <w:gridCol w:w="293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65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66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67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Depende  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Todos os itens da lista são simbólicos. O valor integral pago deve ser convertido em dinheiro é repassado diretamente para as noivas.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RF07 - O banco de dados e a API de pagamento devem direcionar o saldo líquido para a conta bancária das noivas, sem gerar pedidos de entrega física.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Itens de maior valor nominal não podem ser desmembrados. O sistema deve exigir que o pagamento de qualquer presente seja feito integralmente por um único convidado.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RF07 - Bloquear funções de "vaquinha" ou "divisão de cotas" no carrinho de compras.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taxas operacionais do site devem ser somadas ao valor final do presente. O sistema deve obrigatoriamente exibir o valor dessa taxa de forma transparente para o convidado antes da conclusão do Pix.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RF07 - A interface precisa mostrar minuciosamente  as duas variáveis na tela de checkout.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lista de presentes deve ser bloqueada para novos recebimentos automaticamente na data de realização do casamento.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6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RF02, RF07 - Implementar uma rotina baseada na data do RF02 para desativar a rota de pagamento da API.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funcionalidades do site devem respeitar as dinâmicas e escopos dos modelos de sites integrados à Fazenda Pitangueiras.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tabs>
                <w:tab w:val="left" w:leader="none" w:pos="673"/>
              </w:tabs>
              <w:ind w:left="8" w:right="8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Todos. Serve como guia de arquitetura e referência de usabilidade para a equipe de desenvolvimento. </w:t>
            </w:r>
          </w:p>
        </w:tc>
      </w:tr>
    </w:tbl>
    <w:p w:rsidR="00000000" w:rsidDel="00000000" w:rsidP="00000000" w:rsidRDefault="00000000" w:rsidRPr="00000000" w14:paraId="0000007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footerReference r:id="rId8" w:type="first"/>
      <w:type w:val="nextPage"/>
      <w:pgSz w:h="12240" w:w="15840" w:orient="landscape"/>
      <w:pgMar w:bottom="720" w:top="720" w:left="1418" w:right="1418" w:header="0" w:footer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2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2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2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2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ZpQnDLst2tLy0aDZDK4RlJLn/A==">CgMxLjAyDmguM2tvdWJxN3c0cWRqOAByITFBY3NkX0RWOWEwOFJBS25Yc1VpNUl0SDdFSmRxazlnbA==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