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bidi/>
        <w:spacing w:after="200" w:before="0"/>
        <w:jc w:val="center"/>
      </w:pPr>
      <w:r>
        <w:rPr>
          <w:rFonts w:ascii="Tahoma" w:cs="Tahoma" w:eastAsia="Tahoma" w:hAnsi="Tahoma"/>
          <w:b/>
          <w:bCs/>
          <w:color w:val="9C2B2B"/>
          <w:sz w:val="56"/>
          <w:szCs w:val="56"/>
          <w:rtl/>
        </w:rPr>
        <w:t xml:space="preserve">چارچوب پایش اوراسیا</w:t>
      </w:r>
    </w:p>
    <w:p>
      <w:pPr>
        <w:bidi/>
        <w:spacing w:after="500" w:before="0"/>
        <w:jc w:val="center"/>
      </w:pPr>
      <w:r>
        <w:rPr>
          <w:rFonts w:ascii="Tahoma" w:cs="Tahoma" w:eastAsia="Tahoma" w:hAnsi="Tahoma"/>
          <w:b/>
          <w:bCs/>
          <w:color w:val="334155"/>
          <w:sz w:val="30"/>
          <w:szCs w:val="30"/>
          <w:rtl/>
        </w:rPr>
        <w:t xml:space="preserve">روش عملیاتیِ تکرارشونده برای بررسی و تحلیل ترانزیت و حمل‌ونقل در اوراسیا</w:t>
      </w:r>
    </w:p>
    <w:p>
      <w:pPr>
        <w:bidi/>
        <w:spacing w:after="1200" w:before="0"/>
        <w:jc w:val="center"/>
      </w:pPr>
      <w:r>
        <w:rPr>
          <w:rFonts w:ascii="Tahoma" w:cs="Tahoma" w:eastAsia="Tahoma" w:hAnsi="Tahoma"/>
          <w:i/>
          <w:iCs/>
          <w:color w:val="64748B"/>
          <w:sz w:val="22"/>
          <w:szCs w:val="22"/>
          <w:rtl/>
        </w:rPr>
        <w:t xml:space="preserve">سند همراه گزارش «هوشمندی راهبردی اوراسیا» — برای استفاده در هر چرخه‌ی بازبینی بعدی، نه فقط این یک‌بار</w:t>
      </w:r>
    </w:p>
    <w:p>
      <w:pPr>
        <w:bidi/>
        <w:spacing w:after="80" w:before="0"/>
        <w:jc w:val="center"/>
      </w:pPr>
      <w:r>
        <w:rPr>
          <w:rFonts w:ascii="Tahoma" w:cs="Tahoma" w:eastAsia="Tahoma" w:hAnsi="Tahoma"/>
          <w:color w:val="334155"/>
          <w:sz w:val="22"/>
          <w:szCs w:val="22"/>
          <w:rtl/>
        </w:rPr>
        <w:t xml:space="preserve">تهیه‌شده برای: واحد راهبرد و بازار — شرکت جوش شیرین پارس</w:t>
      </w:r>
    </w:p>
    <w:p>
      <w:pPr>
        <w:bidi/>
        <w:spacing w:after="80" w:before="0"/>
        <w:jc w:val="center"/>
      </w:pPr>
      <w:r>
        <w:rPr>
          <w:rFonts w:ascii="Tahoma" w:cs="Tahoma" w:eastAsia="Tahoma" w:hAnsi="Tahoma"/>
          <w:color w:val="334155"/>
          <w:sz w:val="22"/>
          <w:szCs w:val="22"/>
          <w:rtl/>
        </w:rPr>
        <w:t xml:space="preserve">تاریخ: شهریور ۱۴۰۵ (سپتامبر ۲۰۲۶)</w:t>
      </w:r>
    </w:p>
    <w:p>
      <w:r>
        <w:br w:type="page"/>
      </w:r>
    </w:p>
    <w:p>
      <w:pPr>
        <w:pStyle w:val="Heading1"/>
        <w:pBdr>
          <w:bottom w:val="single" w:color="9C2B2B" w:sz="8" w:space="4"/>
        </w:pBdr>
        <w:bidi/>
        <w:spacing w:after="200" w:before="400"/>
        <w:jc w:val="right"/>
      </w:pPr>
      <w:r>
        <w:rPr>
          <w:rFonts w:ascii="Tahoma" w:cs="Tahoma" w:eastAsia="Tahoma" w:hAnsi="Tahoma"/>
          <w:b/>
          <w:bCs/>
          <w:color w:val="9C2B2B"/>
          <w:sz w:val="32"/>
          <w:szCs w:val="32"/>
          <w:rtl/>
        </w:rPr>
        <w:t xml:space="preserve">۱. چرا این چارچوب لازم است</w:t>
      </w:r>
    </w:p>
    <w:p>
      <w:pPr>
        <w:bidi/>
        <w:spacing w:after="160" w:before="0"/>
        <w:jc w:val="right"/>
      </w:pPr>
      <w:r>
        <w:rPr>
          <w:rFonts w:ascii="Tahoma" w:cs="Tahoma" w:eastAsia="Tahoma" w:hAnsi="Tahoma"/>
          <w:sz w:val="21"/>
          <w:szCs w:val="21"/>
          <w:rtl/>
        </w:rPr>
        <w:t xml:space="preserve">تا امروز، بررسی بازار در این پلتفرم کشور به کشور انجام می‌شد. آنچه در آن روش دیده نمی‌شود، تصویر «حوزه‌ای» است: این‌که یک تغییر در ظرفیت بندر آنالیای گرجستان، یا یک قرارداد تعرفه‌ی جدید بین راه‌آهن روسیه و قزاقستان، یا یک روز دیگر تشدید تنش در تنگه‌ی هرمز، مستقیماً روی هزینه و امکان‌پذیری صادرات جوش شیرین به ده‌ها کشور هم‌زمان اثر می‌گذارد — نه فقط روی یک کشور. این چارچوب برای پرکردن همین شکاف طراحی شده: یک روش تکرارشونده، نه یک تحلیل یک‌باره.</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هدف چارچوب این است که در هر چرخه (هفتگی/فصلی/سالانه) بتوان با حداقل زمان، بیشترین سیگنال معنادار را از حجم زیاد اطلاعات اوراسیا استخراج کرد.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این سند خودش باید هر بار که استفاده می‌شود، در صورت لزوم اصلاح شود — منابع جدید پیدا می‌شوند، برخی منابع از رده خارج می‌شوند، شاخص‌ها دقیق‌تر می‌شوند.</w:t>
      </w:r>
    </w:p>
    <w:p>
      <w:pPr>
        <w:pStyle w:val="Heading1"/>
        <w:pBdr>
          <w:bottom w:val="single" w:color="9C2B2B" w:sz="8" w:space="4"/>
        </w:pBdr>
        <w:bidi/>
        <w:spacing w:after="200" w:before="400"/>
        <w:jc w:val="right"/>
      </w:pPr>
      <w:r>
        <w:rPr>
          <w:rFonts w:ascii="Tahoma" w:cs="Tahoma" w:eastAsia="Tahoma" w:hAnsi="Tahoma"/>
          <w:b/>
          <w:bCs/>
          <w:color w:val="9C2B2B"/>
          <w:sz w:val="32"/>
          <w:szCs w:val="32"/>
          <w:rtl/>
        </w:rPr>
        <w:t xml:space="preserve">۲. پنج بُعد پایش</w:t>
      </w:r>
    </w:p>
    <w:p>
      <w:pPr>
        <w:bidi/>
        <w:spacing w:after="160" w:before="0"/>
        <w:jc w:val="right"/>
      </w:pPr>
      <w:r>
        <w:rPr>
          <w:rFonts w:ascii="Tahoma" w:cs="Tahoma" w:eastAsia="Tahoma" w:hAnsi="Tahoma"/>
          <w:sz w:val="21"/>
          <w:szCs w:val="21"/>
          <w:rtl/>
        </w:rPr>
        <w:t xml:space="preserve">هر رویداد یا داده‌ای که جمع می‌کنید را زیر یکی از این پنج بُعد دسته‌بندی کنید. این دسته‌بندی به شما اجازه می‌دهد به‌جای غرق‌شدن در جزئیات، بپرسید «این خبر کدام بُعد را تغییر داد؟»</w:t>
      </w:r>
    </w:p>
    <w:p>
      <w:pPr>
        <w:pStyle w:val="Heading2"/>
        <w:bidi/>
        <w:spacing w:after="160" w:before="300"/>
        <w:jc w:val="right"/>
      </w:pPr>
      <w:r>
        <w:rPr>
          <w:rFonts w:ascii="Tahoma" w:cs="Tahoma" w:eastAsia="Tahoma" w:hAnsi="Tahoma"/>
          <w:b/>
          <w:bCs/>
          <w:color w:val="C9762E"/>
          <w:sz w:val="26"/>
          <w:szCs w:val="26"/>
          <w:rtl/>
        </w:rPr>
        <w:t xml:space="preserve">بُعد ۱ — زیرساخت فیزیکی</w:t>
      </w:r>
    </w:p>
    <w:p>
      <w:pPr>
        <w:bidi/>
        <w:spacing w:after="160" w:before="0"/>
        <w:jc w:val="right"/>
      </w:pPr>
      <w:r>
        <w:rPr>
          <w:rFonts w:ascii="Tahoma" w:cs="Tahoma" w:eastAsia="Tahoma" w:hAnsi="Tahoma"/>
          <w:sz w:val="20"/>
          <w:szCs w:val="20"/>
          <w:rtl/>
        </w:rPr>
        <w:t xml:space="preserve">پروژه‌های ساخت، گلوگاه‌زدایی، گیج ریلی، ظرفیت بنادر و گذرگاه‌های مرزی. این بُعد کند تغییر می‌کند (ماه‌ها تا سال‌ها) اما وقتی تغییر کند، اثرش دائمی است.</w:t>
      </w:r>
    </w:p>
    <w:p>
      <w:pPr>
        <w:pStyle w:val="Heading2"/>
        <w:bidi/>
        <w:spacing w:after="160" w:before="300"/>
        <w:jc w:val="right"/>
      </w:pPr>
      <w:r>
        <w:rPr>
          <w:rFonts w:ascii="Tahoma" w:cs="Tahoma" w:eastAsia="Tahoma" w:hAnsi="Tahoma"/>
          <w:b/>
          <w:bCs/>
          <w:color w:val="C9762E"/>
          <w:sz w:val="26"/>
          <w:szCs w:val="26"/>
          <w:rtl/>
        </w:rPr>
        <w:t xml:space="preserve">بُعد ۲ — حجم و جریان تجاری</w:t>
      </w:r>
    </w:p>
    <w:p>
      <w:pPr>
        <w:bidi/>
        <w:spacing w:after="160" w:before="0"/>
        <w:jc w:val="right"/>
      </w:pPr>
      <w:r>
        <w:rPr>
          <w:rFonts w:ascii="Tahoma" w:cs="Tahoma" w:eastAsia="Tahoma" w:hAnsi="Tahoma"/>
          <w:sz w:val="20"/>
          <w:szCs w:val="20"/>
          <w:rtl/>
        </w:rPr>
        <w:t xml:space="preserve">تناژ، TEU، درصد کانتینری‌شدن، سهم هر کشور از هر کریدور. این بُعد فصلی/سالانه منتشر می‌شود و باید با داده‌ی سهم بازار موجود در پلتفرم (WITS) تطبیق داده شود.</w:t>
      </w:r>
    </w:p>
    <w:p>
      <w:pPr>
        <w:pStyle w:val="Heading2"/>
        <w:bidi/>
        <w:spacing w:after="160" w:before="300"/>
        <w:jc w:val="right"/>
      </w:pPr>
      <w:r>
        <w:rPr>
          <w:rFonts w:ascii="Tahoma" w:cs="Tahoma" w:eastAsia="Tahoma" w:hAnsi="Tahoma"/>
          <w:b/>
          <w:bCs/>
          <w:color w:val="C9762E"/>
          <w:sz w:val="26"/>
          <w:szCs w:val="26"/>
          <w:rtl/>
        </w:rPr>
        <w:t xml:space="preserve">بُعد ۳ — تعرفه و رویه (زیرساخت نرم)</w:t>
      </w:r>
    </w:p>
    <w:p>
      <w:pPr>
        <w:bidi/>
        <w:spacing w:after="160" w:before="0"/>
        <w:jc w:val="right"/>
      </w:pPr>
      <w:r>
        <w:rPr>
          <w:rFonts w:ascii="Tahoma" w:cs="Tahoma" w:eastAsia="Tahoma" w:hAnsi="Tahoma"/>
          <w:sz w:val="20"/>
          <w:szCs w:val="20"/>
          <w:rtl/>
        </w:rPr>
        <w:t xml:space="preserve">تعرفه‌ی حمل، توافق‌های ترانزیتی، دیجیتالی‌شدن اسناد (e-CMR، e-TIR)، زمان ترخیص گمرکی. این بُعد مستقیماً روی رقابت‌پذیری قیمت صادرات اثر می‌گذارد.</w:t>
      </w:r>
    </w:p>
    <w:p>
      <w:pPr>
        <w:pStyle w:val="Heading2"/>
        <w:bidi/>
        <w:spacing w:after="160" w:before="300"/>
        <w:jc w:val="right"/>
      </w:pPr>
      <w:r>
        <w:rPr>
          <w:rFonts w:ascii="Tahoma" w:cs="Tahoma" w:eastAsia="Tahoma" w:hAnsi="Tahoma"/>
          <w:b/>
          <w:bCs/>
          <w:color w:val="C9762E"/>
          <w:sz w:val="26"/>
          <w:szCs w:val="26"/>
          <w:rtl/>
        </w:rPr>
        <w:t xml:space="preserve">بُعد ۴ — ژئوپلیتیک، امنیت، تحریم</w:t>
      </w:r>
    </w:p>
    <w:p>
      <w:pPr>
        <w:bidi/>
        <w:spacing w:after="160" w:before="0"/>
        <w:jc w:val="right"/>
      </w:pPr>
      <w:r>
        <w:rPr>
          <w:rFonts w:ascii="Tahoma" w:cs="Tahoma" w:eastAsia="Tahoma" w:hAnsi="Tahoma"/>
          <w:sz w:val="20"/>
          <w:szCs w:val="20"/>
          <w:rtl/>
        </w:rPr>
        <w:t xml:space="preserve">سریع‌ترین بُعد برای تغییر (روزانه/هفتگی) و در شرایط فعلی (جنگ ایران ۲۰۲۶، تحریم اسنپ‌بک) بالاترین اولویت. باید جدا از سه بُعد بالا و با تناوب بیشتر رصد شود.</w:t>
      </w:r>
    </w:p>
    <w:p>
      <w:pPr>
        <w:pStyle w:val="Heading2"/>
        <w:bidi/>
        <w:spacing w:after="160" w:before="300"/>
        <w:jc w:val="right"/>
      </w:pPr>
      <w:r>
        <w:rPr>
          <w:rFonts w:ascii="Tahoma" w:cs="Tahoma" w:eastAsia="Tahoma" w:hAnsi="Tahoma"/>
          <w:b/>
          <w:bCs/>
          <w:color w:val="C9762E"/>
          <w:sz w:val="26"/>
          <w:szCs w:val="26"/>
          <w:rtl/>
        </w:rPr>
        <w:t xml:space="preserve">بُعد ۵ — رقابت کریدوری</w:t>
      </w:r>
    </w:p>
    <w:p>
      <w:pPr>
        <w:bidi/>
        <w:spacing w:after="160" w:before="0"/>
        <w:jc w:val="right"/>
      </w:pPr>
      <w:r>
        <w:rPr>
          <w:rFonts w:ascii="Tahoma" w:cs="Tahoma" w:eastAsia="Tahoma" w:hAnsi="Tahoma"/>
          <w:sz w:val="20"/>
          <w:szCs w:val="20"/>
          <w:rtl/>
        </w:rPr>
        <w:t xml:space="preserve">این‌که کدام کریدور رقیب (کریدور میانی، ترانس‌افغان، CPEC) دارد سهم می‌گیرد یا از دست می‌دهد — یعنی آیا مرکزیت جغرافیایی ایران دارد به مرکزیت واقعی تبدیل می‌شود یا برعکس.</w:t>
      </w:r>
    </w:p>
    <w:p>
      <w:pPr>
        <w:pStyle w:val="Heading1"/>
        <w:pBdr>
          <w:bottom w:val="single" w:color="9C2B2B" w:sz="8" w:space="4"/>
        </w:pBdr>
        <w:bidi/>
        <w:spacing w:after="200" w:before="400"/>
        <w:jc w:val="right"/>
      </w:pPr>
      <w:r>
        <w:rPr>
          <w:rFonts w:ascii="Tahoma" w:cs="Tahoma" w:eastAsia="Tahoma" w:hAnsi="Tahoma"/>
          <w:b/>
          <w:bCs/>
          <w:color w:val="9C2B2B"/>
          <w:sz w:val="32"/>
          <w:szCs w:val="32"/>
          <w:rtl/>
        </w:rPr>
        <w:t xml:space="preserve">۳. منابع کلیدی به تفکیک بُعد</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800"/>
        <w:gridCol w:w="4950"/>
        <w:gridCol w:w="2250"/>
      </w:tblGrid>
      <w:tr>
        <w:trPr>
          <w:tblHeader/>
        </w:trPr>
        <w:tc>
          <w:tcPr>
            <w:tcW w:type="pct" w:w="20%"/>
            <w:shd w:fill="9C2B2B" w:val="clear"/>
            <w:tcMar>
              <w:top w:type="dxa" w:w="100"/>
              <w:left w:type="dxa" w:w="120"/>
              <w:bottom w:type="dxa" w:w="100"/>
              <w:right w:type="dxa" w:w="120"/>
            </w:tcMar>
            <w:vAlign w:val="center"/>
          </w:tcPr>
          <w:p>
            <w:pPr>
              <w:bidi/>
              <w:spacing w:after="0" w:before="0"/>
              <w:jc w:val="right"/>
            </w:pPr>
            <w:r>
              <w:rPr>
                <w:rFonts w:ascii="Tahoma" w:cs="Tahoma" w:eastAsia="Tahoma" w:hAnsi="Tahoma"/>
                <w:b/>
                <w:bCs/>
                <w:color w:val="FFFFFF"/>
                <w:sz w:val="19"/>
                <w:szCs w:val="19"/>
                <w:rtl/>
              </w:rPr>
              <w:t xml:space="preserve">بُعد</w:t>
            </w:r>
          </w:p>
        </w:tc>
        <w:tc>
          <w:tcPr>
            <w:tcW w:type="pct" w:w="55%"/>
            <w:shd w:fill="9C2B2B" w:val="clear"/>
            <w:tcMar>
              <w:top w:type="dxa" w:w="100"/>
              <w:left w:type="dxa" w:w="120"/>
              <w:bottom w:type="dxa" w:w="100"/>
              <w:right w:type="dxa" w:w="120"/>
            </w:tcMar>
            <w:vAlign w:val="center"/>
          </w:tcPr>
          <w:p>
            <w:pPr>
              <w:bidi/>
              <w:spacing w:after="0" w:before="0"/>
              <w:jc w:val="right"/>
            </w:pPr>
            <w:r>
              <w:rPr>
                <w:rFonts w:ascii="Tahoma" w:cs="Tahoma" w:eastAsia="Tahoma" w:hAnsi="Tahoma"/>
                <w:b/>
                <w:bCs/>
                <w:color w:val="FFFFFF"/>
                <w:sz w:val="19"/>
                <w:szCs w:val="19"/>
                <w:rtl/>
              </w:rPr>
              <w:t xml:space="preserve">منابع اصلی</w:t>
            </w:r>
          </w:p>
        </w:tc>
        <w:tc>
          <w:tcPr>
            <w:tcW w:type="pct" w:w="25%"/>
            <w:shd w:fill="9C2B2B" w:val="clear"/>
            <w:tcMar>
              <w:top w:type="dxa" w:w="100"/>
              <w:left w:type="dxa" w:w="120"/>
              <w:bottom w:type="dxa" w:w="100"/>
              <w:right w:type="dxa" w:w="120"/>
            </w:tcMar>
            <w:vAlign w:val="center"/>
          </w:tcPr>
          <w:p>
            <w:pPr>
              <w:bidi/>
              <w:spacing w:after="0" w:before="0"/>
              <w:jc w:val="right"/>
            </w:pPr>
            <w:r>
              <w:rPr>
                <w:rFonts w:ascii="Tahoma" w:cs="Tahoma" w:eastAsia="Tahoma" w:hAnsi="Tahoma"/>
                <w:b/>
                <w:bCs/>
                <w:color w:val="FFFFFF"/>
                <w:sz w:val="19"/>
                <w:szCs w:val="19"/>
                <w:rtl/>
              </w:rPr>
              <w:t xml:space="preserve">نوع/تناوب انتشار</w:t>
            </w:r>
          </w:p>
        </w:tc>
      </w:tr>
      <w:tr>
        <w:tc>
          <w:tcPr>
            <w:tcW w:type="pct" w:w="20%"/>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زیرساخت فیزیکی</w:t>
            </w:r>
          </w:p>
        </w:tc>
        <w:tc>
          <w:tcPr>
            <w:tcW w:type="pct" w:w="55%"/>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گزارش‌های EDB/EABR (eabr.org)، IGC TRACECA (traceca-org.org)، انجمن TITR، UNECE/UNESCAP</w:t>
            </w:r>
          </w:p>
        </w:tc>
        <w:tc>
          <w:tcPr>
            <w:tcW w:type="pct" w:w="25%"/>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گزارش سالانه/دوسالانه</w:t>
            </w:r>
          </w:p>
        </w:tc>
      </w:tr>
      <w:tr>
        <w:tc>
          <w:tcPr>
            <w:tcW w:type="pct" w:w="20%"/>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حجم و جریان تجاری</w:t>
            </w:r>
          </w:p>
        </w:tc>
        <w:tc>
          <w:tcPr>
            <w:tcW w:type="pct" w:w="55%"/>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WITS (wits.worldbank.org)، ITC Trade Map، CAREC Corridor statistics، RZD/KTZ گزارش‌های رسمی</w:t>
            </w:r>
          </w:p>
        </w:tc>
        <w:tc>
          <w:tcPr>
            <w:tcW w:type="pct" w:w="25%"/>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فصلی/سالانه</w:t>
            </w:r>
          </w:p>
        </w:tc>
      </w:tr>
      <w:tr>
        <w:tc>
          <w:tcPr>
            <w:tcW w:type="pct" w:w="20%"/>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تعرفه و رویه</w:t>
            </w:r>
          </w:p>
        </w:tc>
        <w:tc>
          <w:tcPr>
            <w:tcW w:type="pct" w:w="55%"/>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IRU (iru.org)، UNECE TIR/e-TIR، EEC اوراسیا (eec.eaeunion.org)</w:t>
            </w:r>
          </w:p>
        </w:tc>
        <w:tc>
          <w:tcPr>
            <w:tcW w:type="pct" w:w="25%"/>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بی‌قاعده، رصد اطلاعیه</w:t>
            </w:r>
          </w:p>
        </w:tc>
      </w:tr>
      <w:tr>
        <w:tc>
          <w:tcPr>
            <w:tcW w:type="pct" w:w="20%"/>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ژئوپلیتیک/امنیت/تحریم</w:t>
            </w:r>
          </w:p>
        </w:tc>
        <w:tc>
          <w:tcPr>
            <w:tcW w:type="pct" w:w="55%"/>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Al Jazeera، Reuters، UN News، وزارت خارجه‌ی آمریکا و اتحادیه‌ی اروپا (اطلاعیه‌های تحریم)، UKMTO (هشدار دریایی)</w:t>
            </w:r>
          </w:p>
        </w:tc>
        <w:tc>
          <w:tcPr>
            <w:tcW w:type="pct" w:w="25%"/>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روزانه/هفتگی</w:t>
            </w:r>
          </w:p>
        </w:tc>
      </w:tr>
      <w:tr>
        <w:tc>
          <w:tcPr>
            <w:tcW w:type="pct" w:w="20%"/>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رقابت کریدوری</w:t>
            </w:r>
          </w:p>
        </w:tc>
        <w:tc>
          <w:tcPr>
            <w:tcW w:type="pct" w:w="55%"/>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RailFreight.com، Times of Central Asia، Astana Times، Caspian Post، Trend.az، Jamestown Foundation، Carnegie Endowment، Geopolitical Monitor</w:t>
            </w:r>
          </w:p>
        </w:tc>
        <w:tc>
          <w:tcPr>
            <w:tcW w:type="pct" w:w="25%"/>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هفتگی/ماهانه</w:t>
            </w:r>
          </w:p>
        </w:tc>
      </w:tr>
    </w:tbl>
    <w:p>
      <w:pPr>
        <w:bidi/>
        <w:spacing w:after="160" w:before="0"/>
        <w:jc w:val="right"/>
      </w:pPr>
      <w:r>
        <w:rPr>
          <w:rFonts w:ascii="Tahoma" w:cs="Tahoma" w:eastAsia="Tahoma" w:hAnsi="Tahoma"/>
          <w:i/>
          <w:iCs/>
          <w:color w:val="64748B"/>
          <w:sz w:val="19"/>
          <w:szCs w:val="19"/>
          <w:rtl/>
        </w:rPr>
        <w:t xml:space="preserve">نکته‌ی روش‌شناسی: هیچ‌کدام از منابع بالا را کورکورانه نپذیرید — همان‌طور که در تحلیل کریدور میانی دیدیم، دو منبع (Astana Times خوش‌بین در برابر Carnegie Endowment محتاط) درباره‌ی یک موضوع نتیجه‌ی متفاوت می‌گیرند. همیشه حداقل یک منبع «رسمی/ذی‌نفع» (دولت، EDB) و یک منبع «تحلیلی مستقل» (Carnegie، Jamestown) را کنار هم بگذارید.</w:t>
      </w:r>
    </w:p>
    <w:p>
      <w:pPr>
        <w:pStyle w:val="Heading1"/>
        <w:pBdr>
          <w:bottom w:val="single" w:color="9C2B2B" w:sz="8" w:space="4"/>
        </w:pBdr>
        <w:bidi/>
        <w:spacing w:after="200" w:before="400"/>
        <w:jc w:val="right"/>
      </w:pPr>
      <w:r>
        <w:rPr>
          <w:rFonts w:ascii="Tahoma" w:cs="Tahoma" w:eastAsia="Tahoma" w:hAnsi="Tahoma"/>
          <w:b/>
          <w:bCs/>
          <w:color w:val="9C2B2B"/>
          <w:sz w:val="32"/>
          <w:szCs w:val="32"/>
          <w:rtl/>
        </w:rPr>
        <w:t xml:space="preserve">۴. شاخص‌های کلیدی برای ردیابی هر کریدور</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980"/>
        <w:gridCol w:w="3510"/>
        <w:gridCol w:w="3510"/>
      </w:tblGrid>
      <w:tr>
        <w:trPr>
          <w:tblHeader/>
        </w:trPr>
        <w:tc>
          <w:tcPr>
            <w:tcW w:type="pct" w:w="22%"/>
            <w:shd w:fill="9C2B2B" w:val="clear"/>
            <w:tcMar>
              <w:top w:type="dxa" w:w="100"/>
              <w:left w:type="dxa" w:w="120"/>
              <w:bottom w:type="dxa" w:w="100"/>
              <w:right w:type="dxa" w:w="120"/>
            </w:tcMar>
            <w:vAlign w:val="center"/>
          </w:tcPr>
          <w:p>
            <w:pPr>
              <w:bidi/>
              <w:spacing w:after="0" w:before="0"/>
              <w:jc w:val="right"/>
            </w:pPr>
            <w:r>
              <w:rPr>
                <w:rFonts w:ascii="Tahoma" w:cs="Tahoma" w:eastAsia="Tahoma" w:hAnsi="Tahoma"/>
                <w:b/>
                <w:bCs/>
                <w:color w:val="FFFFFF"/>
                <w:sz w:val="19"/>
                <w:szCs w:val="19"/>
                <w:rtl/>
              </w:rPr>
              <w:t xml:space="preserve">کریدور/مسیر</w:t>
            </w:r>
          </w:p>
        </w:tc>
        <w:tc>
          <w:tcPr>
            <w:tcW w:type="pct" w:w="39%"/>
            <w:shd w:fill="9C2B2B" w:val="clear"/>
            <w:tcMar>
              <w:top w:type="dxa" w:w="100"/>
              <w:left w:type="dxa" w:w="120"/>
              <w:bottom w:type="dxa" w:w="100"/>
              <w:right w:type="dxa" w:w="120"/>
            </w:tcMar>
            <w:vAlign w:val="center"/>
          </w:tcPr>
          <w:p>
            <w:pPr>
              <w:bidi/>
              <w:spacing w:after="0" w:before="0"/>
              <w:jc w:val="right"/>
            </w:pPr>
            <w:r>
              <w:rPr>
                <w:rFonts w:ascii="Tahoma" w:cs="Tahoma" w:eastAsia="Tahoma" w:hAnsi="Tahoma"/>
                <w:b/>
                <w:bCs/>
                <w:color w:val="FFFFFF"/>
                <w:sz w:val="19"/>
                <w:szCs w:val="19"/>
                <w:rtl/>
              </w:rPr>
              <w:t xml:space="preserve">شاخص کمّی</w:t>
            </w:r>
          </w:p>
        </w:tc>
        <w:tc>
          <w:tcPr>
            <w:tcW w:type="pct" w:w="39%"/>
            <w:shd w:fill="9C2B2B" w:val="clear"/>
            <w:tcMar>
              <w:top w:type="dxa" w:w="100"/>
              <w:left w:type="dxa" w:w="120"/>
              <w:bottom w:type="dxa" w:w="100"/>
              <w:right w:type="dxa" w:w="120"/>
            </w:tcMar>
            <w:vAlign w:val="center"/>
          </w:tcPr>
          <w:p>
            <w:pPr>
              <w:bidi/>
              <w:spacing w:after="0" w:before="0"/>
              <w:jc w:val="right"/>
            </w:pPr>
            <w:r>
              <w:rPr>
                <w:rFonts w:ascii="Tahoma" w:cs="Tahoma" w:eastAsia="Tahoma" w:hAnsi="Tahoma"/>
                <w:b/>
                <w:bCs/>
                <w:color w:val="FFFFFF"/>
                <w:sz w:val="19"/>
                <w:szCs w:val="19"/>
                <w:rtl/>
              </w:rPr>
              <w:t xml:space="preserve">شاخص کیفی/رویداد</w:t>
            </w:r>
          </w:p>
        </w:tc>
      </w:tr>
      <w:tr>
        <w:tc>
          <w:tcPr>
            <w:tcW w:type="pct" w:w="22%"/>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INSTC — غربی (آستارا)</w:t>
            </w:r>
          </w:p>
        </w:tc>
        <w:tc>
          <w:tcPr>
            <w:tcW w:type="pct" w:w="39%"/>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تناژ سالانه، TEU، سهم ایران از کل ترافیک مسیر</w:t>
            </w:r>
          </w:p>
        </w:tc>
        <w:tc>
          <w:tcPr>
            <w:tcW w:type="pct" w:w="39%"/>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وضعیت ساخت رشت-آستارا؛ وضعیت تحریم بانکی</w:t>
            </w:r>
          </w:p>
        </w:tc>
      </w:tr>
      <w:tr>
        <w:tc>
          <w:tcPr>
            <w:tcW w:type="pct" w:w="22%"/>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INSTC — شرقی (ترکمنستان)</w:t>
            </w:r>
          </w:p>
        </w:tc>
        <w:tc>
          <w:tcPr>
            <w:tcW w:type="pct" w:w="39%"/>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تناژ سالانه از/به ایران</w:t>
            </w:r>
          </w:p>
        </w:tc>
        <w:tc>
          <w:tcPr>
            <w:tcW w:type="pct" w:w="39%"/>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ظرفیت گذرگاه‌های سرخس/آق‌یایله</w:t>
            </w:r>
          </w:p>
        </w:tc>
      </w:tr>
      <w:tr>
        <w:tc>
          <w:tcPr>
            <w:tcW w:type="pct" w:w="22%"/>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TRACECA (بازرگان-گوربولاک)</w:t>
            </w:r>
          </w:p>
        </w:tc>
        <w:tc>
          <w:tcPr>
            <w:tcW w:type="pct" w:w="39%"/>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تناژ جاده‌ای سالانه</w:t>
            </w:r>
          </w:p>
        </w:tc>
        <w:tc>
          <w:tcPr>
            <w:tcW w:type="pct" w:w="39%"/>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زمان انتظار مرزی، وضعیت گلوگاه دریاچه‌ی وان</w:t>
            </w:r>
          </w:p>
        </w:tc>
      </w:tr>
      <w:tr>
        <w:tc>
          <w:tcPr>
            <w:tcW w:type="pct" w:w="22%"/>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TITR/کریدور میانی</w:t>
            </w:r>
          </w:p>
        </w:tc>
        <w:tc>
          <w:tcPr>
            <w:tcW w:type="pct" w:w="39%"/>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TEU سالانه از قزاقستان/آذربایجان/گرجستان</w:t>
            </w:r>
          </w:p>
        </w:tc>
        <w:tc>
          <w:tcPr>
            <w:tcW w:type="pct" w:w="39%"/>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وضعیت بندر آنالیا، سطح آب دریای خزر</w:t>
            </w:r>
          </w:p>
        </w:tc>
      </w:tr>
      <w:tr>
        <w:tc>
          <w:tcPr>
            <w:tcW w:type="pct" w:w="22%"/>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چابهار</w:t>
            </w:r>
          </w:p>
        </w:tc>
        <w:tc>
          <w:tcPr>
            <w:tcW w:type="pct" w:w="39%"/>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w:t>
            </w:r>
          </w:p>
        </w:tc>
        <w:tc>
          <w:tcPr>
            <w:tcW w:type="pct" w:w="39%"/>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وضعیت معافیت تحریمی آمریکا؛ حضور/خروج هند</w:t>
            </w:r>
          </w:p>
        </w:tc>
      </w:tr>
      <w:tr>
        <w:tc>
          <w:tcPr>
            <w:tcW w:type="pct" w:w="22%"/>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امنیت دریایی (هرمز)</w:t>
            </w:r>
          </w:p>
        </w:tc>
        <w:tc>
          <w:tcPr>
            <w:tcW w:type="pct" w:w="39%"/>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تعداد کشتی متوقف/آسیب‌دیده در ماه</w:t>
            </w:r>
          </w:p>
        </w:tc>
        <w:tc>
          <w:tcPr>
            <w:tcW w:type="pct" w:w="39%"/>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اعلامیه‌های UKMTO، نرخ بیمه‌ی جنگی</w:t>
            </w:r>
          </w:p>
        </w:tc>
      </w:tr>
      <w:tr>
        <w:tc>
          <w:tcPr>
            <w:tcW w:type="pct" w:w="22%"/>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ترانس‌افغان / زاهدان-چابهار</w:t>
            </w:r>
          </w:p>
        </w:tc>
        <w:tc>
          <w:tcPr>
            <w:tcW w:type="pct" w:w="39%"/>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w:t>
            </w:r>
          </w:p>
        </w:tc>
        <w:tc>
          <w:tcPr>
            <w:tcW w:type="pct" w:w="39%"/>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پیشرفت مطالعه‌ی امکان‌سنجی، توافق‌های بین‌دولتی جدید</w:t>
            </w:r>
          </w:p>
        </w:tc>
      </w:tr>
    </w:tbl>
    <w:p>
      <w:pPr>
        <w:pStyle w:val="Heading1"/>
        <w:pBdr>
          <w:bottom w:val="single" w:color="9C2B2B" w:sz="8" w:space="4"/>
        </w:pBdr>
        <w:bidi/>
        <w:spacing w:after="200" w:before="400"/>
        <w:jc w:val="right"/>
      </w:pPr>
      <w:r>
        <w:rPr>
          <w:rFonts w:ascii="Tahoma" w:cs="Tahoma" w:eastAsia="Tahoma" w:hAnsi="Tahoma"/>
          <w:b/>
          <w:bCs/>
          <w:color w:val="9C2B2B"/>
          <w:sz w:val="32"/>
          <w:szCs w:val="32"/>
          <w:rtl/>
        </w:rPr>
        <w:t xml:space="preserve">۵. تناوب بازبینی</w:t>
      </w:r>
    </w:p>
    <w:p>
      <w:pPr>
        <w:pStyle w:val="Heading2"/>
        <w:bidi/>
        <w:spacing w:after="160" w:before="300"/>
        <w:jc w:val="right"/>
      </w:pPr>
      <w:r>
        <w:rPr>
          <w:rFonts w:ascii="Tahoma" w:cs="Tahoma" w:eastAsia="Tahoma" w:hAnsi="Tahoma"/>
          <w:b/>
          <w:bCs/>
          <w:color w:val="C9762E"/>
          <w:sz w:val="26"/>
          <w:szCs w:val="26"/>
          <w:rtl/>
        </w:rPr>
        <w:t xml:space="preserve">رصد سبک هفتگی (۱۵ تا ۲۰ دقیقه)</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فقط بُعد ۴ (ژئوپلیتیک/امنیت/تحریم): وضعیت تنگه‌ی هرمز، هرگونه اطلاعیه‌ی تحریم جدید، هرگونه پیشرفت/شکست دیپلماتیک.</w:t>
      </w:r>
    </w:p>
    <w:p>
      <w:pPr>
        <w:pStyle w:val="Heading2"/>
        <w:bidi/>
        <w:spacing w:after="160" w:before="300"/>
        <w:jc w:val="right"/>
      </w:pPr>
      <w:r>
        <w:rPr>
          <w:rFonts w:ascii="Tahoma" w:cs="Tahoma" w:eastAsia="Tahoma" w:hAnsi="Tahoma"/>
          <w:b/>
          <w:bCs/>
          <w:color w:val="C9762E"/>
          <w:sz w:val="26"/>
          <w:szCs w:val="26"/>
          <w:rtl/>
        </w:rPr>
        <w:t xml:space="preserve">بازبینی متوسط فصلی (۲ تا ۳ ساعت)</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به‌روزرسانی جدول شاخص‌های فصل ۴ با آخرین آمار WITS/ITC Trade Map (هماهنگ با داده‌ی سهم بازار موجود در پلتفرم).</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مرور اخبار بُعد ۱، ۳، ۵ برای هر کریدوری که به بازارهای فعال شرکت مربوط است.</w:t>
      </w:r>
    </w:p>
    <w:p>
      <w:pPr>
        <w:pStyle w:val="Heading2"/>
        <w:bidi/>
        <w:spacing w:after="160" w:before="300"/>
        <w:jc w:val="right"/>
      </w:pPr>
      <w:r>
        <w:rPr>
          <w:rFonts w:ascii="Tahoma" w:cs="Tahoma" w:eastAsia="Tahoma" w:hAnsi="Tahoma"/>
          <w:b/>
          <w:bCs/>
          <w:color w:val="C9762E"/>
          <w:sz w:val="26"/>
          <w:szCs w:val="26"/>
          <w:rtl/>
        </w:rPr>
        <w:t xml:space="preserve">بازبینی عمیق سالانه (مشابه این گزارش)</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وقتی گزارش جدید EDB یا نهاد مشابه منتشر شود، یا سالی یک‌بار در نبود گزارش جدید، کل این چارچوب را با هر پنج بُعد از نو اجرا کنید و نسخه‌ی به‌روزشده‌ی هر دو سند (گزارش و همین چارچوب) را تولید کنید.</w:t>
      </w:r>
    </w:p>
    <w:p>
      <w:pPr>
        <w:pStyle w:val="Heading2"/>
        <w:bidi/>
        <w:spacing w:after="160" w:before="300"/>
        <w:jc w:val="right"/>
      </w:pPr>
      <w:r>
        <w:rPr>
          <w:rFonts w:ascii="Tahoma" w:cs="Tahoma" w:eastAsia="Tahoma" w:hAnsi="Tahoma"/>
          <w:b/>
          <w:bCs/>
          <w:color w:val="C9762E"/>
          <w:sz w:val="26"/>
          <w:szCs w:val="26"/>
          <w:rtl/>
        </w:rPr>
        <w:t xml:space="preserve">بازبینی رویداد-محور (بدون زمان‌بندی ثابت)</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هر رویداد بزرگ (شروع/پایان جنگ، تحریم جدید، توافق هسته‌ای، افتتاح یک خط ریلی کلیدی مثل رشت-آستارا) باید بلافاصله یک چرخه‌ی کوچک از بازبینی فصل ۴ (پیامدها) و فصل ۶-۹ (فرصت/تهدید) گزارش را فعال کند، صرف‌نظر از تقویم.</w:t>
      </w:r>
    </w:p>
    <w:p>
      <w:pPr>
        <w:pStyle w:val="Heading1"/>
        <w:pBdr>
          <w:bottom w:val="single" w:color="9C2B2B" w:sz="8" w:space="4"/>
        </w:pBdr>
        <w:bidi/>
        <w:spacing w:after="200" w:before="400"/>
        <w:jc w:val="right"/>
      </w:pPr>
      <w:r>
        <w:rPr>
          <w:rFonts w:ascii="Tahoma" w:cs="Tahoma" w:eastAsia="Tahoma" w:hAnsi="Tahoma"/>
          <w:b/>
          <w:bCs/>
          <w:color w:val="9C2B2B"/>
          <w:sz w:val="32"/>
          <w:szCs w:val="32"/>
          <w:rtl/>
        </w:rPr>
        <w:t xml:space="preserve">۶. روش امتیازدهی فرصت/تهدید</w:t>
      </w:r>
    </w:p>
    <w:p>
      <w:pPr>
        <w:bidi/>
        <w:spacing w:after="160" w:before="0"/>
        <w:jc w:val="right"/>
      </w:pPr>
      <w:r>
        <w:rPr>
          <w:rFonts w:ascii="Tahoma" w:cs="Tahoma" w:eastAsia="Tahoma" w:hAnsi="Tahoma"/>
          <w:sz w:val="21"/>
          <w:szCs w:val="21"/>
          <w:rtl/>
        </w:rPr>
        <w:t xml:space="preserve">برای هر کریدور یا مسیر، دو امتیاز از ۱ تا ۵ بدهید: «تأثیر» (اگر این مسیر باز/بسته/ارزان/گران شود، چقدر روی صادرات شرکت اثر می‌گذارد) و «احتمال» (چقدر محتمل است این تغییر در افق زمانی موردنظر رخ دهد). حاصل‌ضرب این دو عدد (از ۱ تا ۲۵) اولویت رصد را تعیین می‌کند.</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1800"/>
        <w:gridCol w:w="2250"/>
        <w:gridCol w:w="2250"/>
      </w:tblGrid>
      <w:tr>
        <w:trPr>
          <w:tblHeader/>
        </w:trPr>
        <w:tc>
          <w:tcPr>
            <w:tcW w:type="pct" w:w="30%"/>
            <w:shd w:fill="9C2B2B" w:val="clear"/>
            <w:tcMar>
              <w:top w:type="dxa" w:w="100"/>
              <w:left w:type="dxa" w:w="120"/>
              <w:bottom w:type="dxa" w:w="100"/>
              <w:right w:type="dxa" w:w="120"/>
            </w:tcMar>
            <w:vAlign w:val="center"/>
          </w:tcPr>
          <w:p>
            <w:pPr>
              <w:bidi/>
              <w:spacing w:after="0" w:before="0"/>
              <w:jc w:val="right"/>
            </w:pPr>
            <w:r>
              <w:rPr>
                <w:rFonts w:ascii="Tahoma" w:cs="Tahoma" w:eastAsia="Tahoma" w:hAnsi="Tahoma"/>
                <w:b/>
                <w:bCs/>
                <w:color w:val="FFFFFF"/>
                <w:sz w:val="19"/>
                <w:szCs w:val="19"/>
                <w:rtl/>
              </w:rPr>
              <w:t xml:space="preserve">مسیر</w:t>
            </w:r>
          </w:p>
        </w:tc>
        <w:tc>
          <w:tcPr>
            <w:tcW w:type="pct" w:w="20%"/>
            <w:shd w:fill="9C2B2B" w:val="clear"/>
            <w:tcMar>
              <w:top w:type="dxa" w:w="100"/>
              <w:left w:type="dxa" w:w="120"/>
              <w:bottom w:type="dxa" w:w="100"/>
              <w:right w:type="dxa" w:w="120"/>
            </w:tcMar>
            <w:vAlign w:val="center"/>
          </w:tcPr>
          <w:p>
            <w:pPr>
              <w:bidi/>
              <w:spacing w:after="0" w:before="0"/>
              <w:jc w:val="right"/>
            </w:pPr>
            <w:r>
              <w:rPr>
                <w:rFonts w:ascii="Tahoma" w:cs="Tahoma" w:eastAsia="Tahoma" w:hAnsi="Tahoma"/>
                <w:b/>
                <w:bCs/>
                <w:color w:val="FFFFFF"/>
                <w:sz w:val="19"/>
                <w:szCs w:val="19"/>
                <w:rtl/>
              </w:rPr>
              <w:t xml:space="preserve">تأثیر (۱-۵)</w:t>
            </w:r>
          </w:p>
        </w:tc>
        <w:tc>
          <w:tcPr>
            <w:tcW w:type="pct" w:w="25%"/>
            <w:shd w:fill="9C2B2B" w:val="clear"/>
            <w:tcMar>
              <w:top w:type="dxa" w:w="100"/>
              <w:left w:type="dxa" w:w="120"/>
              <w:bottom w:type="dxa" w:w="100"/>
              <w:right w:type="dxa" w:w="120"/>
            </w:tcMar>
            <w:vAlign w:val="center"/>
          </w:tcPr>
          <w:p>
            <w:pPr>
              <w:bidi/>
              <w:spacing w:after="0" w:before="0"/>
              <w:jc w:val="right"/>
            </w:pPr>
            <w:r>
              <w:rPr>
                <w:rFonts w:ascii="Tahoma" w:cs="Tahoma" w:eastAsia="Tahoma" w:hAnsi="Tahoma"/>
                <w:b/>
                <w:bCs/>
                <w:color w:val="FFFFFF"/>
                <w:sz w:val="19"/>
                <w:szCs w:val="19"/>
                <w:rtl/>
              </w:rPr>
              <w:t xml:space="preserve">احتمال تغییر در ۱۲ ماه (۱-۵)</w:t>
            </w:r>
          </w:p>
        </w:tc>
        <w:tc>
          <w:tcPr>
            <w:tcW w:type="pct" w:w="25%"/>
            <w:shd w:fill="9C2B2B" w:val="clear"/>
            <w:tcMar>
              <w:top w:type="dxa" w:w="100"/>
              <w:left w:type="dxa" w:w="120"/>
              <w:bottom w:type="dxa" w:w="100"/>
              <w:right w:type="dxa" w:w="120"/>
            </w:tcMar>
            <w:vAlign w:val="center"/>
          </w:tcPr>
          <w:p>
            <w:pPr>
              <w:bidi/>
              <w:spacing w:after="0" w:before="0"/>
              <w:jc w:val="right"/>
            </w:pPr>
            <w:r>
              <w:rPr>
                <w:rFonts w:ascii="Tahoma" w:cs="Tahoma" w:eastAsia="Tahoma" w:hAnsi="Tahoma"/>
                <w:b/>
                <w:bCs/>
                <w:color w:val="FFFFFF"/>
                <w:sz w:val="19"/>
                <w:szCs w:val="19"/>
                <w:rtl/>
              </w:rPr>
              <w:t xml:space="preserve">امتیاز اولویت</w:t>
            </w:r>
          </w:p>
        </w:tc>
      </w:tr>
      <w:tr>
        <w:tc>
          <w:tcPr>
            <w:tcW w:type="pct" w:w="30%"/>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دریایی بندرعباس (ریسک هرمز)</w:t>
            </w:r>
          </w:p>
        </w:tc>
        <w:tc>
          <w:tcPr>
            <w:tcW w:type="pct" w:w="20%"/>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۵</w:t>
            </w:r>
          </w:p>
        </w:tc>
        <w:tc>
          <w:tcPr>
            <w:tcW w:type="pct" w:w="25%"/>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۴</w:t>
            </w:r>
          </w:p>
        </w:tc>
        <w:tc>
          <w:tcPr>
            <w:tcW w:type="pct" w:w="25%"/>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۲۰ — رصد مستمر</w:t>
            </w:r>
          </w:p>
        </w:tc>
      </w:tr>
      <w:tr>
        <w:tc>
          <w:tcPr>
            <w:tcW w:type="pct" w:w="30%"/>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INSTC غربی / رشت-آستارا</w:t>
            </w:r>
          </w:p>
        </w:tc>
        <w:tc>
          <w:tcPr>
            <w:tcW w:type="pct" w:w="20%"/>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۴</w:t>
            </w:r>
          </w:p>
        </w:tc>
        <w:tc>
          <w:tcPr>
            <w:tcW w:type="pct" w:w="25%"/>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۲</w:t>
            </w:r>
          </w:p>
        </w:tc>
        <w:tc>
          <w:tcPr>
            <w:tcW w:type="pct" w:w="25%"/>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۸ — رصد فصلی</w:t>
            </w:r>
          </w:p>
        </w:tc>
      </w:tr>
      <w:tr>
        <w:tc>
          <w:tcPr>
            <w:tcW w:type="pct" w:w="30%"/>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TRACECA جاده‌ای (بازرگان-گوربولاک)</w:t>
            </w:r>
          </w:p>
        </w:tc>
        <w:tc>
          <w:tcPr>
            <w:tcW w:type="pct" w:w="20%"/>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۳</w:t>
            </w:r>
          </w:p>
        </w:tc>
        <w:tc>
          <w:tcPr>
            <w:tcW w:type="pct" w:w="25%"/>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۱</w:t>
            </w:r>
          </w:p>
        </w:tc>
        <w:tc>
          <w:tcPr>
            <w:tcW w:type="pct" w:w="25%"/>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۳ — رصد سالانه</w:t>
            </w:r>
          </w:p>
        </w:tc>
      </w:tr>
      <w:tr>
        <w:tc>
          <w:tcPr>
            <w:tcW w:type="pct" w:w="30%"/>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کریدور میانی (تهدید رقابتی)</w:t>
            </w:r>
          </w:p>
        </w:tc>
        <w:tc>
          <w:tcPr>
            <w:tcW w:type="pct" w:w="20%"/>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۳</w:t>
            </w:r>
          </w:p>
        </w:tc>
        <w:tc>
          <w:tcPr>
            <w:tcW w:type="pct" w:w="25%"/>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۳</w:t>
            </w:r>
          </w:p>
        </w:tc>
        <w:tc>
          <w:tcPr>
            <w:tcW w:type="pct" w:w="25%"/>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۹ — رصد فصلی</w:t>
            </w:r>
          </w:p>
        </w:tc>
      </w:tr>
      <w:tr>
        <w:tc>
          <w:tcPr>
            <w:tcW w:type="pct" w:w="30%"/>
            <w:shd w:fill="F1F5F9" w:val="clear"/>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چابهار</w:t>
            </w:r>
          </w:p>
        </w:tc>
        <w:tc>
          <w:tcPr>
            <w:tcW w:type="pct" w:w="20%"/>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۲</w:t>
            </w:r>
          </w:p>
        </w:tc>
        <w:tc>
          <w:tcPr>
            <w:tcW w:type="pct" w:w="25%"/>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۲</w:t>
            </w:r>
          </w:p>
        </w:tc>
        <w:tc>
          <w:tcPr>
            <w:tcW w:type="pct" w:w="25%"/>
            <w:tcMar>
              <w:top w:type="dxa" w:w="100"/>
              <w:left w:type="dxa" w:w="120"/>
              <w:bottom w:type="dxa" w:w="100"/>
              <w:right w:type="dxa" w:w="120"/>
            </w:tcMar>
            <w:vAlign w:val="center"/>
          </w:tcPr>
          <w:p>
            <w:pPr>
              <w:bidi/>
              <w:spacing w:after="0" w:before="0"/>
              <w:jc w:val="right"/>
            </w:pPr>
            <w:r>
              <w:rPr>
                <w:rFonts w:ascii="Tahoma" w:cs="Tahoma" w:eastAsia="Tahoma" w:hAnsi="Tahoma"/>
                <w:color w:val="1E293B"/>
                <w:sz w:val="19"/>
                <w:szCs w:val="19"/>
                <w:rtl/>
              </w:rPr>
              <w:t xml:space="preserve">۴ — رصد سالانه یا رویداد-محور</w:t>
            </w:r>
          </w:p>
        </w:tc>
      </w:tr>
    </w:tbl>
    <w:p>
      <w:pPr>
        <w:bidi/>
        <w:spacing w:after="160" w:before="0"/>
        <w:jc w:val="right"/>
      </w:pPr>
      <w:r>
        <w:rPr>
          <w:rFonts w:ascii="Tahoma" w:cs="Tahoma" w:eastAsia="Tahoma" w:hAnsi="Tahoma"/>
          <w:i/>
          <w:iCs/>
          <w:color w:val="64748B"/>
          <w:sz w:val="19"/>
          <w:szCs w:val="19"/>
          <w:rtl/>
        </w:rPr>
        <w:t xml:space="preserve">این جدول را در هر بازبینی فصلی دوباره پر کنید — تغییر در امتیاز اولویت خودش یک سیگنال است (مثلاً اگر امتیاز چابهار ناگهان بالا برود چون مذاکرات هسته‌ای پیشرفت کرده، یعنی وقت رصد نزدیک‌تر رسیده).</w:t>
      </w:r>
    </w:p>
    <w:p>
      <w:pPr>
        <w:pStyle w:val="Heading1"/>
        <w:pBdr>
          <w:bottom w:val="single" w:color="9C2B2B" w:sz="8" w:space="4"/>
        </w:pBdr>
        <w:bidi/>
        <w:spacing w:after="200" w:before="400"/>
        <w:jc w:val="right"/>
      </w:pPr>
      <w:r>
        <w:rPr>
          <w:rFonts w:ascii="Tahoma" w:cs="Tahoma" w:eastAsia="Tahoma" w:hAnsi="Tahoma"/>
          <w:b/>
          <w:bCs/>
          <w:color w:val="9C2B2B"/>
          <w:sz w:val="32"/>
          <w:szCs w:val="32"/>
          <w:rtl/>
        </w:rPr>
        <w:t xml:space="preserve">۷. قالب تکرارشونده‌ی گزارش بعدی</w:t>
      </w:r>
    </w:p>
    <w:p>
      <w:pPr>
        <w:bidi/>
        <w:spacing w:after="160" w:before="0"/>
        <w:jc w:val="right"/>
      </w:pPr>
      <w:r>
        <w:rPr>
          <w:rFonts w:ascii="Tahoma" w:cs="Tahoma" w:eastAsia="Tahoma" w:hAnsi="Tahoma"/>
          <w:sz w:val="21"/>
          <w:szCs w:val="21"/>
          <w:rtl/>
        </w:rPr>
        <w:t xml:space="preserve">در هر بازبینی فصلی یا سالانه، از همین قالب استفاده کنید تا گزارش‌های متوالی قابل‌مقایسه باشند: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۱. هشدار فوری — هر تغییر بُعد ۴ از آخرین بازبینی.</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۲. جدول شاخص‌های به‌روزشده (فصل ۴ همین سند) با مقایسه‌ی «این دوره در برابر دوره‌ی قبل».</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۳. جدول امتیازدهی فرصت/تهدید به‌روزشده (فصل ۶ همین سند).</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۴. تغییرات در فهرست کریدورهای رقیب (فصل ۵ گزارش اصلی) — آیا رقیبی جدید ظاهر شده یا رقیبی از رده خارج شده؟</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۵. توصیه‌های به‌روزشده برای افق کوتاه/میان/بلندمدت.</w:t>
      </w:r>
    </w:p>
    <w:p>
      <w:pPr>
        <w:pStyle w:val="Heading1"/>
        <w:pBdr>
          <w:bottom w:val="single" w:color="9C2B2B" w:sz="8" w:space="4"/>
        </w:pBdr>
        <w:bidi/>
        <w:spacing w:after="200" w:before="400"/>
        <w:jc w:val="right"/>
      </w:pPr>
      <w:r>
        <w:rPr>
          <w:rFonts w:ascii="Tahoma" w:cs="Tahoma" w:eastAsia="Tahoma" w:hAnsi="Tahoma"/>
          <w:b/>
          <w:bCs/>
          <w:color w:val="9C2B2B"/>
          <w:sz w:val="32"/>
          <w:szCs w:val="32"/>
          <w:rtl/>
        </w:rPr>
        <w:t xml:space="preserve">۸. چک‌لیست شروع سریع برای بازبینی بعدی</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 ] آخرین وضعیت تنگه‌ی هرمز و تحریم‌ها را از منابع بُعد ۴ بررسی کن.</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 ] WITS را برای هر مقصد فعال (ازبکستان، ارمنستان، و هر مقصد جدید) به‌روزرسانی کن.</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 ] اخبار EDB/EABR، RailFreight.com، Times of Central Asia را برای پروژه‌های زیرساختی جدید مرور کن.</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 ] جدول امتیازدهی فصل ۶ را دوباره پر کن.</w:t>
      </w:r>
    </w:p>
    <w:p>
      <w:pPr>
        <w:bidi/>
        <w:spacing w:after="100" w:before="0"/>
        <w:jc w:val="right"/>
      </w:pPr>
      <w:r>
        <w:rPr>
          <w:rFonts w:ascii="Tahoma" w:cs="Tahoma" w:eastAsia="Tahoma" w:hAnsi="Tahoma"/>
          <w:b/>
          <w:bCs/>
          <w:color w:val="C9762E"/>
          <w:sz w:val="21"/>
          <w:szCs w:val="21"/>
          <w:rtl/>
        </w:rPr>
        <w:t xml:space="preserve">•  </w:t>
      </w:r>
      <w:r>
        <w:rPr>
          <w:rFonts w:ascii="Tahoma" w:cs="Tahoma" w:eastAsia="Tahoma" w:hAnsi="Tahoma"/>
          <w:sz w:val="21"/>
          <w:szCs w:val="21"/>
          <w:rtl/>
        </w:rPr>
        <w:t xml:space="preserve">[ ] اگر امتیاز اولویت هر مسیری بیش از ۵ واحد تغییر کرد، آن را در جمع‌بندی این چرخه برجسته کن.</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2026-09-17T05:54:36.509Z</dcterms:created>
  <dcterms:modified xsi:type="dcterms:W3CDTF">2026-09-17T05:54:36.521Z</dcterms:modified>
</cp:coreProperties>
</file>

<file path=docProps/custom.xml><?xml version="1.0" encoding="utf-8"?>
<Properties xmlns="http://schemas.openxmlformats.org/officeDocument/2006/custom-properties" xmlns:vt="http://schemas.openxmlformats.org/officeDocument/2006/docPropsVTypes"/>
</file>