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333333" w:sz="12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2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VRNQ — VR SOFTWARE RATING SHEET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Virtual Reality Neuroscience Questionnaire (Kourtesis et al., 2019) — one sheet per game, per rater.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Completed by trained adult raters (expert panel / facilitators) after hands-on use of the game. Not for completion by child participants.</w:t>
            </w:r>
          </w:p>
        </w:tc>
      </w:tr>
    </w:tbl>
    <w:p>
      <w:pPr>
        <w:spacing w:after="3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EDEDED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BEFORE USE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The 20 item wordings must be transcribed verbatim from the source paper into the rows below. The grey labels name each item's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, not the published wording. Do not administer this sheet until the real item text is in place.</w:t>
            </w:r>
          </w:p>
        </w:tc>
      </w:tr>
    </w:tbl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1500"/>
        <w:gridCol w:w="1500"/>
        <w:gridCol w:w="2046"/>
        <w:gridCol w:w="2000"/>
      </w:tblGrid>
      <w:t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Game rated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Rater ID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Role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Date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Minutes in this game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Input (controller / gaze)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5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Rate each item 1–7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1 = extremely low   ·   7 = extremely high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0546"/>
            <w:gridSpan w:val="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A.  User experience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3"/>
                <w:szCs w:val="13"/>
              </w:rPr>
              <w:t xml:space="preserve">intensity of immersion, level of enjoyment, quality of graphics, quality of sound, quality of the VR technology (internal and external hardware)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immersion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enjoyment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graphics quality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sound quality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VR hardware quality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8146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 sub-score</w:t>
            </w:r>
          </w:p>
        </w:tc>
        <w:tc>
          <w:tcPr>
            <w:tcW w:type="dxa" w:w="1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range 5–35</w:t>
            </w:r>
          </w:p>
        </w:tc>
        <w:tc>
          <w:tcPr>
            <w:tcW w:type="dxa" w:w="8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546"/>
            <w:gridSpan w:val="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B.  Game mechanics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3"/>
                <w:szCs w:val="13"/>
              </w:rPr>
              <w:t xml:space="preserve">ease of navigating, moving physically, and interacting with the virtual environment (using, picking and placing, holding items; two-handed interactions)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ease of navigation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physical movement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interaction / using items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pick and place items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holding items / two-handed interaction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8146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 sub-score</w:t>
            </w:r>
          </w:p>
        </w:tc>
        <w:tc>
          <w:tcPr>
            <w:tcW w:type="dxa" w:w="1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range 5–35</w:t>
            </w:r>
          </w:p>
        </w:tc>
        <w:tc>
          <w:tcPr>
            <w:tcW w:type="dxa" w:w="8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546"/>
            <w:gridSpan w:val="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C.  In-game assistance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3"/>
                <w:szCs w:val="13"/>
              </w:rPr>
              <w:t xml:space="preserve">quality and helpfulness of the in-game instructions and prompts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in-game instructions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in-game prompts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see source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see source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see source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8146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 sub-score</w:t>
            </w:r>
          </w:p>
        </w:tc>
        <w:tc>
          <w:tcPr>
            <w:tcW w:type="dxa" w:w="1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range 5–35</w:t>
            </w:r>
          </w:p>
        </w:tc>
        <w:tc>
          <w:tcPr>
            <w:tcW w:type="dxa" w:w="8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546"/>
            <w:gridSpan w:val="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D.  VRISE  (VR-induced symptoms and effects)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3"/>
                <w:szCs w:val="13"/>
              </w:rPr>
              <w:t xml:space="preserve">nausea, disorientation, dizziness, fatigue, instability — CHECK ITEM DIRECTION IN THE SOURCE BEFORE SUMMING (see note on page 2)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nausea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disorientation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dizziness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fatigue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4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[transcribe VRNQ item wording]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2"/>
                <w:szCs w:val="12"/>
              </w:rPr>
              <w:t xml:space="preserve">content: instability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8146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 sub-score</w:t>
            </w:r>
          </w:p>
        </w:tc>
        <w:tc>
          <w:tcPr>
            <w:tcW w:type="dxa" w:w="16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AFAFA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range 5–35</w:t>
            </w:r>
          </w:p>
        </w:tc>
        <w:tc>
          <w:tcPr>
            <w:tcW w:type="dxa" w:w="8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3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1800"/>
        <w:gridCol w:w="1000"/>
      </w:tblGrid>
      <w:tr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TOTAL VRNQ SCORE   (sum of all 20 items)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range 20–140</w:t>
            </w:r>
          </w:p>
        </w:tc>
        <w:tc>
          <w:tcPr>
            <w:tcW w:type="dxa" w:w="10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Scoring</w:t>
            </w:r>
          </w:p>
        </w:tc>
      </w:tr>
    </w:tbl>
    <w:p>
      <w:pPr>
        <w:spacing w:after="40" w:line="20" w:lineRule="exact"/>
      </w:pP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Sub-score.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Sum the five items in each domain. Range 5–35.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Total.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Sum all twenty items. Range 20–140.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Cut-offs apply to the median across raters, not to one rater's sheet.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Collect sheets from all raters for a game, take the median sub-score and median total, then compare to the table below.</w:t>
      </w:r>
    </w:p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6"/>
        <w:gridCol w:w="3500"/>
        <w:gridCol w:w="3500"/>
      </w:tblGrid>
      <w:tr>
        <w:tc>
          <w:tcPr>
            <w:tcW w:type="dxa" w:w="3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Minimum cut-off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adequate quality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Parsimonious cut-off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2"/>
                <w:szCs w:val="12"/>
              </w:rPr>
              <w:t xml:space="preserve">robustly suitable</w:t>
            </w:r>
          </w:p>
        </w:tc>
      </w:tr>
      <w:tr>
        <w:tc>
          <w:tcPr>
            <w:tcW w:type="dxa" w:w="3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sub-score  (range 5–35)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Total score  (range 20–140)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Equivalent to a per-item median of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6</w:t>
            </w:r>
          </w:p>
        </w:tc>
      </w:tr>
    </w:tbl>
    <w:p>
      <w:pPr>
        <w:spacing w:after="40" w:line="20" w:lineRule="exact"/>
      </w:pPr>
    </w:p>
    <w:p>
      <w:pPr>
        <w:spacing w:after="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Reporting: state, per game, whether the median sub-scores and total met the minimum cut-offs, and whether they met the parsimonious cut-offs. A game meeting the minimum cut-offs is of adequate quality not to cause significant VRISE; meeting the parsimonious cut-offs supports suitability more robustly.</w:t>
      </w:r>
    </w:p>
    <w:p>
      <w:pPr>
        <w:spacing w:after="9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Summary across the six games</w:t>
            </w:r>
          </w:p>
        </w:tc>
      </w:tr>
    </w:tbl>
    <w:p>
      <w:pPr>
        <w:spacing w:after="30" w:line="20" w:lineRule="exact"/>
      </w:pPr>
    </w:p>
    <w:p>
      <w:pPr>
        <w:spacing w:after="5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4"/>
          <w:szCs w:val="14"/>
        </w:rPr>
        <w:t xml:space="preserve">Median scores across all raters. Mark a cell that falls below the minimum cut-off.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6"/>
        <w:gridCol w:w="1600"/>
        <w:gridCol w:w="1600"/>
        <w:gridCol w:w="1600"/>
        <w:gridCol w:w="1600"/>
        <w:gridCol w:w="1600"/>
      </w:tblGrid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Game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  UX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  Mechanics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  Assistance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  VRISE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Total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Emotion Room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Emotion Cinema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Playroom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Football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Museum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Park 360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9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Before you use this sheet</w:t>
            </w:r>
          </w:p>
        </w:tc>
      </w:tr>
    </w:tbl>
    <w:p>
      <w:pPr>
        <w:spacing w:after="40" w:line="20" w:lineRule="exact"/>
      </w:pP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Transcribe the 20 items verbatim.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The rows on page 1 carry content labels, not the published item wording. Copy the real wording from the source paper before any rater sees the sheet.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Check the VRISE item direction.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Confirm in the source whether the VRISE items are worded so that a high score means fewer symptoms, and whether any item is reverse-scored, before you sum domain D.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Keep it in English.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There is no validated Malayalam version. If raters need Malayalam, commission a forward–back translation and report it as an adapted version, exactly as the study blueprint requires for the other instruments.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Raters are adults.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The VRNQ was validated on 40 adults aged 28–43. It rates the software, not the child. Child-level tolerance and enjoyment belong on the VR session user-experience form, not here.</w:t>
      </w: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•  Use more than one rater per game.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Report the number of raters and the spread of scores alongside the median. Cut-offs on a single rater's sheet mean little.</w:t>
      </w:r>
    </w:p>
    <w:p>
      <w:pPr>
        <w:spacing w:after="9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</w:t>
            </w:r>
          </w:p>
        </w:tc>
      </w:tr>
    </w:tbl>
    <w:p>
      <w:pPr>
        <w:spacing w:after="40" w:line="20" w:lineRule="exact"/>
      </w:pPr>
    </w:p>
    <w:p>
      <w:pPr>
        <w:spacing w:after="4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Kourtesis, P., Collina, S., Doumas, L. A. A., &amp; MacPherson, S. E. (2019). Validation of the Virtual Reality Neuroscience Questionnaire: Maximum duration of immersive virtual reality sessions without the presence of pertinent adverse symptomatology. Frontiers in Human Neuroscience, 13, 417.</w:t>
      </w:r>
    </w:p>
    <w:p>
      <w:pPr>
        <w:spacing w:after="0" w:before="0" w:line="20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4"/>
          <w:szCs w:val="14"/>
        </w:rPr>
        <w:t xml:space="preserve">Verify the item wording, the scoring rules and the cut-off values against this paper before use. Check and follow its licence terms when reproducing the items.</w:t>
      </w:r>
    </w:p>
    <w:sectPr>
      <w:pgSz w:w="11906" w:h="16838" w:orient="portrait"/>
      <w:pgMar w:top="454" w:right="680" w:bottom="4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2026-09-15T07:11:39.068Z</dcterms:created>
  <dcterms:modified xsi:type="dcterms:W3CDTF">2026-09-15T07:11:39.069Z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