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jc w:val="center"/>
      </w:pPr>
      <w:r>
        <w:t xml:space="preserve">Content Validity Dossier</w:t>
      </w:r>
    </w:p>
    <w:p>
      <w:pPr>
        <w:spacing w:after="120" w:before="200"/>
        <w:jc w:val="center"/>
      </w:pPr>
      <w:r>
        <w:rPr>
          <w:b/>
          <w:bCs/>
          <w:sz w:val="28"/>
          <w:szCs w:val="28"/>
        </w:rPr>
        <w:t xml:space="preserve">A Serious-Game Intervention Targeting Emotional Identification, Turn-Taking and Joint Attention in Autistic Children (Ages 7–15)</w:t>
      </w:r>
    </w:p>
    <w:p>
      <w:pPr>
        <w:spacing w:before="120"/>
        <w:jc w:val="center"/>
      </w:pPr>
      <w:r>
        <w:rPr>
          <w:i/>
          <w:iCs/>
          <w:sz w:val="24"/>
          <w:szCs w:val="24"/>
        </w:rPr>
        <w:t xml:space="preserve">Design rationale and evidence base for expert content-validation review</w:t>
      </w:r>
    </w:p>
    <w:p>
      <w:pPr>
        <w:spacing w:before="2000"/>
        <w:jc w:val="center"/>
      </w:pPr>
      <w:r>
        <w:rPr>
          <w:sz w:val="22"/>
          <w:szCs w:val="22"/>
        </w:rPr>
        <w:t xml:space="preserve">Prepared for the expert review panel  ·  July 2026</w:t>
      </w:r>
    </w:p>
    <w:p>
      <w:pPr>
        <w:spacing w:before="120"/>
        <w:jc w:val="center"/>
      </w:pPr>
      <w:r>
        <w:rPr>
          <w:sz w:val="22"/>
          <w:szCs w:val="22"/>
        </w:rPr>
        <w:t xml:space="preserve">Companion document: Expert Content-Validation Rating Form</w:t>
      </w:r>
    </w:p>
    <w:p>
      <w:r>
        <w:br w:type="page"/>
      </w:r>
    </w:p>
    <w:p>
      <w:pPr>
        <w:pStyle w:val="Heading1"/>
        <w:spacing w:after="140" w:before="280"/>
      </w:pPr>
      <w:r>
        <w:t xml:space="preserve">1. Purpose of this dossier</w:t>
      </w:r>
    </w:p>
    <w:p>
      <w:pPr>
        <w:spacing w:after="120"/>
      </w:pPr>
      <w:r>
        <w:t xml:space="preserve">This dossier presents the design rationale and supporting evidence for a browser-based serious-game intervention comprising six games — each available in a desktop (mouse/touch) build and a 360° virtual-reality (head-mounted display) build — targeting three social-communication skills in autistic children aged 7–15: emotional identification, turn-taking, and joint attention.</w:t>
      </w:r>
    </w:p>
    <w:p>
      <w:pPr>
        <w:spacing w:after="120"/>
      </w:pPr>
      <w:r>
        <w:t xml:space="preserve">It is written for the expert panel conducting content validation of the intervention. For each game it states: (a) the target construct and its definition in the literature; (b) the evidence base for training that construct with technology-mediated methods; (c) how the game mechanic operationalises the construct; (d) the difficulty progression; and (e) what is measured and why. Known limitations are stated explicitly in Section 9.</w:t>
      </w:r>
    </w:p>
    <w:p>
      <w:pPr>
        <w:spacing w:after="120"/>
      </w:pPr>
      <w:r>
        <w:rPr>
          <w:b/>
          <w:bCs/>
        </w:rPr>
        <w:t xml:space="preserve">How your review is scored. </w:t>
      </w:r>
      <w:r>
        <w:t xml:space="preserve">Alongside this dossier you have received a structured rating form. Each item is rated on a 4-point relevance/appropriateness scale. Ratings are aggregated into item-level and scale-level Content Validity Indices (I-CVI and S-CVI/Ave) following Lynn (1986) and Polit &amp; Beck (2006). Items falling below the published thresholds will be revised and re-submitted to the panel. Your written comments carry equal weight with the numeric ratings.</w:t>
      </w:r>
    </w:p>
    <w:p>
      <w:pPr>
        <w:pStyle w:val="Heading1"/>
        <w:spacing w:after="140" w:before="280"/>
      </w:pPr>
      <w:r>
        <w:t xml:space="preserve">2. The intervention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50"/>
        <w:gridCol w:w="2750"/>
        <w:gridCol w:w="1526"/>
      </w:tblGrid>
      <w:tr>
        <w:trPr>
          <w:tblHeader/>
        </w:trPr>
        <w:tc>
          <w:tcPr>
            <w:tcW w:type="dxa" w:w="2000"/>
            <w:shd w:fill="E8EEF7" w:val="clear"/>
            <w:tcMar>
              <w:top w:type="dxa" w:w="60"/>
              <w:left w:type="dxa" w:w="100"/>
              <w:bottom w:type="dxa" w:w="60"/>
              <w:right w:type="dxa" w:w="100"/>
            </w:tcMar>
          </w:tcPr>
          <w:p>
            <w:pPr>
              <w:spacing w:after="0"/>
              <w:jc w:val="left"/>
            </w:pPr>
            <w:r>
              <w:rPr>
                <w:b/>
                <w:bCs/>
              </w:rPr>
              <w:t xml:space="preserve">Skill domain</w:t>
            </w:r>
          </w:p>
        </w:tc>
        <w:tc>
          <w:tcPr>
            <w:tcW w:type="dxa" w:w="2750"/>
            <w:shd w:fill="E8EEF7" w:val="clear"/>
            <w:tcMar>
              <w:top w:type="dxa" w:w="60"/>
              <w:left w:type="dxa" w:w="100"/>
              <w:bottom w:type="dxa" w:w="60"/>
              <w:right w:type="dxa" w:w="100"/>
            </w:tcMar>
          </w:tcPr>
          <w:p>
            <w:pPr>
              <w:spacing w:after="0"/>
              <w:jc w:val="left"/>
            </w:pPr>
            <w:r>
              <w:rPr>
                <w:b/>
                <w:bCs/>
              </w:rPr>
              <w:t xml:space="preserve">Desktop games</w:t>
            </w:r>
          </w:p>
        </w:tc>
        <w:tc>
          <w:tcPr>
            <w:tcW w:type="dxa" w:w="2750"/>
            <w:shd w:fill="E8EEF7" w:val="clear"/>
            <w:tcMar>
              <w:top w:type="dxa" w:w="60"/>
              <w:left w:type="dxa" w:w="100"/>
              <w:bottom w:type="dxa" w:w="60"/>
              <w:right w:type="dxa" w:w="100"/>
            </w:tcMar>
          </w:tcPr>
          <w:p>
            <w:pPr>
              <w:spacing w:after="0"/>
              <w:jc w:val="left"/>
            </w:pPr>
            <w:r>
              <w:rPr>
                <w:b/>
                <w:bCs/>
              </w:rPr>
              <w:t xml:space="preserve">VR (360°) builds</w:t>
            </w:r>
          </w:p>
        </w:tc>
        <w:tc>
          <w:tcPr>
            <w:tcW w:type="dxa" w:w="1526"/>
            <w:shd w:fill="E8EEF7" w:val="clear"/>
            <w:tcMar>
              <w:top w:type="dxa" w:w="60"/>
              <w:left w:type="dxa" w:w="100"/>
              <w:bottom w:type="dxa" w:w="60"/>
              <w:right w:type="dxa" w:w="100"/>
            </w:tcMar>
          </w:tcPr>
          <w:p>
            <w:pPr>
              <w:spacing w:after="0"/>
              <w:jc w:val="left"/>
            </w:pPr>
            <w:r>
              <w:rPr>
                <w:b/>
                <w:bCs/>
              </w:rPr>
              <w:t xml:space="preserve">Session length</w:t>
            </w:r>
          </w:p>
        </w:tc>
      </w:tr>
      <w:tr>
        <w:tc>
          <w:tcPr>
            <w:tcW w:type="dxa" w:w="2000"/>
            <w:tcMar>
              <w:top w:type="dxa" w:w="60"/>
              <w:left w:type="dxa" w:w="100"/>
              <w:bottom w:type="dxa" w:w="60"/>
              <w:right w:type="dxa" w:w="100"/>
            </w:tcMar>
          </w:tcPr>
          <w:p>
            <w:pPr>
              <w:spacing w:after="0"/>
              <w:jc w:val="left"/>
            </w:pPr>
            <w:r>
              <w:rPr>
                <w:b w:val="false"/>
                <w:bCs w:val="false"/>
              </w:rPr>
              <w:t xml:space="preserve">Emotional identification</w:t>
            </w:r>
          </w:p>
        </w:tc>
        <w:tc>
          <w:tcPr>
            <w:tcW w:type="dxa" w:w="2750"/>
            <w:tcMar>
              <w:top w:type="dxa" w:w="60"/>
              <w:left w:type="dxa" w:w="100"/>
              <w:bottom w:type="dxa" w:w="60"/>
              <w:right w:type="dxa" w:w="100"/>
            </w:tcMar>
          </w:tcPr>
          <w:p>
            <w:pPr>
              <w:spacing w:after="0"/>
              <w:jc w:val="left"/>
            </w:pPr>
            <w:r>
              <w:rPr>
                <w:b w:val="false"/>
                <w:bCs w:val="false"/>
              </w:rPr>
              <w:t xml:space="preserve">Emotion Recognition; Emotion Clips</w:t>
            </w:r>
          </w:p>
        </w:tc>
        <w:tc>
          <w:tcPr>
            <w:tcW w:type="dxa" w:w="2750"/>
            <w:tcMar>
              <w:top w:type="dxa" w:w="60"/>
              <w:left w:type="dxa" w:w="100"/>
              <w:bottom w:type="dxa" w:w="60"/>
              <w:right w:type="dxa" w:w="100"/>
            </w:tcMar>
          </w:tcPr>
          <w:p>
            <w:pPr>
              <w:spacing w:after="0"/>
              <w:jc w:val="left"/>
            </w:pPr>
            <w:r>
              <w:rPr>
                <w:b w:val="false"/>
                <w:bCs w:val="false"/>
              </w:rPr>
              <w:t xml:space="preserve">Emotion Room 360; Emotion Cinema 360</w:t>
            </w:r>
          </w:p>
        </w:tc>
        <w:tc>
          <w:tcPr>
            <w:tcW w:type="dxa" w:w="1526"/>
            <w:tcMar>
              <w:top w:type="dxa" w:w="60"/>
              <w:left w:type="dxa" w:w="100"/>
              <w:bottom w:type="dxa" w:w="60"/>
              <w:right w:type="dxa" w:w="100"/>
            </w:tcMar>
          </w:tcPr>
          <w:p>
            <w:pPr>
              <w:spacing w:after="0"/>
              <w:jc w:val="left"/>
            </w:pPr>
            <w:r>
              <w:rPr>
                <w:b w:val="false"/>
                <w:bCs w:val="false"/>
              </w:rPr>
              <w:t xml:space="preserve">5–20 min</w:t>
            </w:r>
          </w:p>
        </w:tc>
      </w:tr>
      <w:tr>
        <w:tc>
          <w:tcPr>
            <w:tcW w:type="dxa" w:w="2000"/>
            <w:tcMar>
              <w:top w:type="dxa" w:w="60"/>
              <w:left w:type="dxa" w:w="100"/>
              <w:bottom w:type="dxa" w:w="60"/>
              <w:right w:type="dxa" w:w="100"/>
            </w:tcMar>
          </w:tcPr>
          <w:p>
            <w:pPr>
              <w:spacing w:after="0"/>
              <w:jc w:val="left"/>
            </w:pPr>
            <w:r>
              <w:rPr>
                <w:b w:val="false"/>
                <w:bCs w:val="false"/>
              </w:rPr>
              <w:t xml:space="preserve">Turn-taking</w:t>
            </w:r>
          </w:p>
        </w:tc>
        <w:tc>
          <w:tcPr>
            <w:tcW w:type="dxa" w:w="2750"/>
            <w:tcMar>
              <w:top w:type="dxa" w:w="60"/>
              <w:left w:type="dxa" w:w="100"/>
              <w:bottom w:type="dxa" w:w="60"/>
              <w:right w:type="dxa" w:w="100"/>
            </w:tcMar>
          </w:tcPr>
          <w:p>
            <w:pPr>
              <w:spacing w:after="0"/>
              <w:jc w:val="left"/>
            </w:pPr>
            <w:r>
              <w:rPr>
                <w:b w:val="false"/>
                <w:bCs w:val="false"/>
              </w:rPr>
              <w:t xml:space="preserve">Block Buddies; Roll-Back Buddy</w:t>
            </w:r>
          </w:p>
        </w:tc>
        <w:tc>
          <w:tcPr>
            <w:tcW w:type="dxa" w:w="2750"/>
            <w:tcMar>
              <w:top w:type="dxa" w:w="60"/>
              <w:left w:type="dxa" w:w="100"/>
              <w:bottom w:type="dxa" w:w="60"/>
              <w:right w:type="dxa" w:w="100"/>
            </w:tcMar>
          </w:tcPr>
          <w:p>
            <w:pPr>
              <w:spacing w:after="0"/>
              <w:jc w:val="left"/>
            </w:pPr>
            <w:r>
              <w:rPr>
                <w:b w:val="false"/>
                <w:bCs w:val="false"/>
              </w:rPr>
              <w:t xml:space="preserve">Playroom 360; Football 360</w:t>
            </w:r>
          </w:p>
        </w:tc>
        <w:tc>
          <w:tcPr>
            <w:tcW w:type="dxa" w:w="1526"/>
            <w:tcMar>
              <w:top w:type="dxa" w:w="60"/>
              <w:left w:type="dxa" w:w="100"/>
              <w:bottom w:type="dxa" w:w="60"/>
              <w:right w:type="dxa" w:w="100"/>
            </w:tcMar>
          </w:tcPr>
          <w:p>
            <w:pPr>
              <w:spacing w:after="0"/>
              <w:jc w:val="left"/>
            </w:pPr>
            <w:r>
              <w:rPr>
                <w:b w:val="false"/>
                <w:bCs w:val="false"/>
              </w:rPr>
              <w:t xml:space="preserve">5–10 min</w:t>
            </w:r>
          </w:p>
        </w:tc>
      </w:tr>
      <w:tr>
        <w:tc>
          <w:tcPr>
            <w:tcW w:type="dxa" w:w="2000"/>
            <w:tcMar>
              <w:top w:type="dxa" w:w="60"/>
              <w:left w:type="dxa" w:w="100"/>
              <w:bottom w:type="dxa" w:w="60"/>
              <w:right w:type="dxa" w:w="100"/>
            </w:tcMar>
          </w:tcPr>
          <w:p>
            <w:pPr>
              <w:spacing w:after="0"/>
              <w:jc w:val="left"/>
            </w:pPr>
            <w:r>
              <w:rPr>
                <w:b w:val="false"/>
                <w:bCs w:val="false"/>
              </w:rPr>
              <w:t xml:space="preserve">Joint attention</w:t>
            </w:r>
          </w:p>
        </w:tc>
        <w:tc>
          <w:tcPr>
            <w:tcW w:type="dxa" w:w="2750"/>
            <w:tcMar>
              <w:top w:type="dxa" w:w="60"/>
              <w:left w:type="dxa" w:w="100"/>
              <w:bottom w:type="dxa" w:w="60"/>
              <w:right w:type="dxa" w:w="100"/>
            </w:tcMar>
          </w:tcPr>
          <w:p>
            <w:pPr>
              <w:spacing w:after="0"/>
              <w:jc w:val="left"/>
            </w:pPr>
            <w:r>
              <w:rPr>
                <w:b w:val="false"/>
                <w:bCs w:val="false"/>
              </w:rPr>
              <w:t xml:space="preserve">Museum Look; Look What I Found!</w:t>
            </w:r>
          </w:p>
        </w:tc>
        <w:tc>
          <w:tcPr>
            <w:tcW w:type="dxa" w:w="2750"/>
            <w:tcMar>
              <w:top w:type="dxa" w:w="60"/>
              <w:left w:type="dxa" w:w="100"/>
              <w:bottom w:type="dxa" w:w="60"/>
              <w:right w:type="dxa" w:w="100"/>
            </w:tcMar>
          </w:tcPr>
          <w:p>
            <w:pPr>
              <w:spacing w:after="0"/>
              <w:jc w:val="left"/>
            </w:pPr>
            <w:r>
              <w:rPr>
                <w:b w:val="false"/>
                <w:bCs w:val="false"/>
              </w:rPr>
              <w:t xml:space="preserve">Museum 360; Park 360</w:t>
            </w:r>
          </w:p>
        </w:tc>
        <w:tc>
          <w:tcPr>
            <w:tcW w:type="dxa" w:w="1526"/>
            <w:tcMar>
              <w:top w:type="dxa" w:w="60"/>
              <w:left w:type="dxa" w:w="100"/>
              <w:bottom w:type="dxa" w:w="60"/>
              <w:right w:type="dxa" w:w="100"/>
            </w:tcMar>
          </w:tcPr>
          <w:p>
            <w:pPr>
              <w:spacing w:after="0"/>
              <w:jc w:val="left"/>
            </w:pPr>
            <w:r>
              <w:rPr>
                <w:b w:val="false"/>
                <w:bCs w:val="false"/>
              </w:rPr>
              <w:t xml:space="preserve">5–10 min</w:t>
            </w:r>
          </w:p>
        </w:tc>
      </w:tr>
    </w:tbl>
    <w:p>
      <w:pPr>
        <w:spacing w:after="120"/>
      </w:pPr>
      <w:r>
        <w:t xml:space="preserve"/>
      </w:r>
    </w:p>
    <w:p>
      <w:pPr>
        <w:pStyle w:val="ListParagraph"/>
        <w:numPr>
          <w:ilvl w:val="0"/>
          <w:numId w:val="2"/>
        </w:numPr>
        <w:spacing w:after="80"/>
      </w:pPr>
      <w:r>
        <w:t xml:space="preserve">Platform: web browser (React + Three.js). Desktop builds run on any computer or tablet; VR builds run on a standalone headset (WebXR) with head-turn as the primary response channel.</w:t>
      </w:r>
    </w:p>
    <w:p>
      <w:pPr>
        <w:pStyle w:val="ListParagraph"/>
        <w:numPr>
          <w:ilvl w:val="0"/>
          <w:numId w:val="2"/>
        </w:numPr>
        <w:spacing w:after="80"/>
      </w:pPr>
      <w:r>
        <w:t xml:space="preserve">Language: Malayalam-first administration. Answer options are tri-modal — spoken word + printed word + pictogram — so reading ability is not a prerequisite.</w:t>
      </w:r>
    </w:p>
    <w:p>
      <w:pPr>
        <w:pStyle w:val="ListParagraph"/>
        <w:numPr>
          <w:ilvl w:val="0"/>
          <w:numId w:val="2"/>
        </w:numPr>
        <w:spacing w:after="80"/>
      </w:pPr>
      <w:r>
        <w:t xml:space="preserve">Each VR build is a construct-preserving variant of its desktop twin: identical task logic, item banks and scoring, with the response mapped to a naturalistic head turn.</w:t>
      </w:r>
    </w:p>
    <w:p>
      <w:pPr>
        <w:pStyle w:val="ListParagraph"/>
        <w:numPr>
          <w:ilvl w:val="0"/>
          <w:numId w:val="2"/>
        </w:numPr>
        <w:spacing w:after="80"/>
      </w:pPr>
      <w:r>
        <w:t xml:space="preserve">All games log per-trial telemetry (accuracy, response latency, prompt use, error type; head-yaw excursion in VR) that exports to CSV for analysis.</w:t>
      </w:r>
    </w:p>
    <w:p>
      <w:pPr>
        <w:pStyle w:val="Heading1"/>
        <w:spacing w:after="140" w:before="280"/>
      </w:pPr>
      <w:r>
        <w:t xml:space="preserve">3. Theoretical framework and general evidence base</w:t>
      </w:r>
    </w:p>
    <w:p>
      <w:pPr>
        <w:spacing w:after="120"/>
      </w:pPr>
      <w:r>
        <w:t xml:space="preserve">Target selection. The three skill domains map directly onto the DSM-5 core social-communication criteria for autism spectrum disorder (American Psychiatric Association, 2013): deficits in social-emotional reciprocity (turn-taking), in nonverbal communicative behaviours (emotional identification), and in sharing attention and affect (joint attention).</w:t>
      </w:r>
    </w:p>
    <w:p>
      <w:pPr>
        <w:spacing w:after="120"/>
      </w:pPr>
      <w:r>
        <w:t xml:space="preserve">Serious games as the delivery vehicle. Systematic reviews find a positive influence of serious games on social skills of autistic children and adolescents, including emotion recognition, joint attention and behavioural skills (Carneiro, Carvalho, Frota &amp; Filipe, 2024). Meta-analysis of randomized controlled trials of computer-based facial emotion training shows a significant post-training gain in emotion recognition (SMD = 0.59; Zhang et al., 2021), while also cautioning that maintenance and far generalization are not guaranteed — a caution that directly shaped this project’s outcome design (Section 8).</w:t>
      </w:r>
    </w:p>
    <w:p>
      <w:pPr>
        <w:spacing w:after="120"/>
      </w:pPr>
      <w:r>
        <w:t xml:space="preserve">Design principles. The games adopt common elements of Naturalistic Developmental Behavioral Interventions (Schreibman et al., 2015): turn-taking routines, adult/agent modelling, natural contingencies (the game world reacts to the child’s act rather than dispensing abstract rewards), prompt hierarchies that fade with success, and errorless-leaning feedback (a wrong answer triggers gentle correction and a demonstration of the target behaviour, never punishment).</w:t>
      </w:r>
    </w:p>
    <w:p>
      <w:pPr>
        <w:spacing w:after="120"/>
      </w:pPr>
      <w:r>
        <w:t xml:space="preserve">Why VR variants. Head-mounted-display VR can present authentic, repeatable social contexts in which the child’s natural orienting response — turning the head to look — becomes the recorded behaviour, which is closer to the real-world skill than a mouse click. Reviews of HMD-VR for autistic users report feasibility and promising skill outcomes while noting that methodologically strong trials are still scarce (Skjoldborg, Bender &amp; Jensen de López, 2022). Accordingly, the VR builds are offered as parallel variants with comfort-first design (Section 8), and the desktop builds remain the primary delivery route.</w:t>
      </w:r>
    </w:p>
    <w:p>
      <w:r>
        <w:br w:type="page"/>
      </w:r>
    </w:p>
    <w:p>
      <w:pPr>
        <w:pStyle w:val="Heading1"/>
        <w:spacing w:after="140" w:before="280"/>
      </w:pPr>
      <w:r>
        <w:t xml:space="preserve">4. Skill domain I — Emotional identification</w:t>
      </w:r>
    </w:p>
    <w:p>
      <w:pPr>
        <w:spacing w:after="120"/>
      </w:pPr>
      <w:r>
        <w:rPr>
          <w:b/>
          <w:bCs/>
        </w:rPr>
        <w:t xml:space="preserve">Construct. </w:t>
      </w:r>
      <w:r>
        <w:t xml:space="preserve">The ability to recognise and label emotional states in other people from facial expressions, dynamic expressive behaviour, and situational context. Difficulty recognising facial emotion is one of the most replicated social-cognitive findings in autism and is a core intervention target because emotion reading scaffolds nearly every downstream social behaviour.</w:t>
      </w:r>
    </w:p>
    <w:p>
      <w:pPr>
        <w:spacing w:after="120"/>
      </w:pPr>
      <w:r>
        <w:rPr>
          <w:b/>
          <w:bCs/>
        </w:rPr>
        <w:t xml:space="preserve">Domain evidence. </w:t>
      </w:r>
      <w:r>
        <w:t xml:space="preserve">Computer-based facial-emotion training is the single best-evidenced technology-mediated intervention in autism: meta-analysis of RCTs shows significant gains in emotion recognition (Zhang et al., 2021). Landmark programmes — Mind Reading (Golan &amp; Baron-Cohen, 2006) and The Transporters (Golan et al., 2010) — established the effective ingredients this domain’s games reuse: systematic repeated presentation of the six basic emotions, immediate feedback, and progression from prototypical to subtler exemplars. The same literature identifies the key weakness — training on static, full-intensity faces generalizes poorly — which is why this domain deliberately spans static faces (Emotion Recognition), dynamic and partial-intensity expressions (Emotion Clips), and situational cause reasoning (the “why?” follow-up).</w:t>
      </w:r>
    </w:p>
    <w:p>
      <w:pPr>
        <w:pStyle w:val="Heading2"/>
        <w:spacing w:after="120" w:before="240"/>
      </w:pPr>
      <w:r>
        <w:t xml:space="preserve">4.1 Emotion Recognition  (VR build: Emotion Room 360)</w:t>
      </w:r>
    </w:p>
    <w:p>
      <w:pPr>
        <w:spacing w:after="120"/>
      </w:pPr>
      <w:r>
        <w:rPr>
          <w:b/>
          <w:bCs/>
        </w:rPr>
        <w:t xml:space="preserve">Target construct. </w:t>
      </w:r>
      <w:r>
        <w:t xml:space="preserve">Recognition and labelling of basic and complex emotions from static facial cues.</w:t>
      </w:r>
    </w:p>
    <w:p>
      <w:pPr>
        <w:spacing w:after="120"/>
      </w:pPr>
      <w:r>
        <w:t xml:space="preserve">Two task formats are used. “How does he/she feel?” shows one face and asks the child to choose the label (expressive vocabulary → label mapping). “Who feels X?” shows several faces and asks the child to point to the one showing the named emotion (label → face mapping). Using both directions guards against one-way rote learning.</w:t>
      </w:r>
    </w:p>
    <w:p>
      <w:pPr>
        <w:spacing w:after="120"/>
      </w:pPr>
      <w:r>
        <w:rPr>
          <w:b/>
          <w:bCs/>
        </w:rPr>
        <w:t xml:space="preserve">Evidence base. </w:t>
      </w:r>
      <w:r>
        <w:t xml:space="preserve">Discrete-trial emotion-labelling with immediate feedback is the paradigm validated by the computer-based training literature (Zhang et al., 2021; Golan et al., 2010). The two-direction format mirrors standard clinical assessment practice in emotion-recognition batteries.</w:t>
      </w:r>
    </w:p>
    <w:p>
      <w:pPr>
        <w:spacing w:after="120"/>
      </w:pPr>
      <w:r>
        <w:rPr>
          <w:b/>
          <w:bCs/>
        </w:rPr>
        <w:t xml:space="preserve">Game mechanic. </w:t>
      </w:r>
      <w:r>
        <w:t xml:space="preserve">A face is presented with three tri-modal answer options (spoken Malayalam + printed word + pictogram). The child selects; correct answers trigger brief positive feedback, errors trigger a gentle correction that names and shows the right answer. Trials cover all six basic emotions (happy, sad, angry, surprised, scared, disgusted) plus complex emotions at higher levels.</w:t>
      </w:r>
    </w:p>
    <w:p>
      <w:pPr>
        <w:pStyle w:val="Heading3"/>
        <w:spacing w:after="100" w:before="200"/>
      </w:pPr>
      <w:r>
        <w:t xml:space="preserve">Construct-to-mechanic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8EEF7" w:val="clear"/>
            <w:tcMar>
              <w:top w:type="dxa" w:w="60"/>
              <w:left w:type="dxa" w:w="100"/>
              <w:bottom w:type="dxa" w:w="60"/>
              <w:right w:type="dxa" w:w="100"/>
            </w:tcMar>
          </w:tcPr>
          <w:p>
            <w:pPr>
              <w:spacing w:after="0"/>
              <w:jc w:val="left"/>
            </w:pPr>
            <w:r>
              <w:rPr>
                <w:b/>
                <w:bCs/>
              </w:rPr>
              <w:t xml:space="preserve">Game element</w:t>
            </w:r>
          </w:p>
        </w:tc>
        <w:tc>
          <w:tcPr>
            <w:tcW w:type="dxa" w:w="2800"/>
            <w:shd w:fill="E8EEF7" w:val="clear"/>
            <w:tcMar>
              <w:top w:type="dxa" w:w="60"/>
              <w:left w:type="dxa" w:w="100"/>
              <w:bottom w:type="dxa" w:w="60"/>
              <w:right w:type="dxa" w:w="100"/>
            </w:tcMar>
          </w:tcPr>
          <w:p>
            <w:pPr>
              <w:spacing w:after="0"/>
              <w:jc w:val="left"/>
            </w:pPr>
            <w:r>
              <w:rPr>
                <w:b/>
                <w:bCs/>
              </w:rPr>
              <w:t xml:space="preserve">Construct feature</w:t>
            </w:r>
          </w:p>
        </w:tc>
        <w:tc>
          <w:tcPr>
            <w:tcW w:type="dxa" w:w="3626"/>
            <w:shd w:fill="E8EEF7" w:val="clear"/>
            <w:tcMar>
              <w:top w:type="dxa" w:w="60"/>
              <w:left w:type="dxa" w:w="100"/>
              <w:bottom w:type="dxa" w:w="60"/>
              <w:right w:type="dxa" w:w="100"/>
            </w:tcMar>
          </w:tcPr>
          <w:p>
            <w:pPr>
              <w:spacing w:after="0"/>
              <w:jc w:val="left"/>
            </w:pPr>
            <w:r>
              <w:rPr>
                <w:b/>
                <w:bCs/>
              </w:rPr>
              <w:t xml:space="preserve">Design rationale</w:t>
            </w:r>
          </w:p>
        </w:tc>
      </w:tr>
      <w:tr>
        <w:tc>
          <w:tcPr>
            <w:tcW w:type="dxa" w:w="2600"/>
            <w:tcMar>
              <w:top w:type="dxa" w:w="60"/>
              <w:left w:type="dxa" w:w="100"/>
              <w:bottom w:type="dxa" w:w="60"/>
              <w:right w:type="dxa" w:w="100"/>
            </w:tcMar>
          </w:tcPr>
          <w:p>
            <w:pPr>
              <w:spacing w:after="0"/>
              <w:jc w:val="left"/>
            </w:pPr>
            <w:r>
              <w:rPr>
                <w:b w:val="false"/>
                <w:bCs w:val="false"/>
              </w:rPr>
              <w:t xml:space="preserve">Single-face labelling trials</w:t>
            </w:r>
          </w:p>
        </w:tc>
        <w:tc>
          <w:tcPr>
            <w:tcW w:type="dxa" w:w="2800"/>
            <w:tcMar>
              <w:top w:type="dxa" w:w="60"/>
              <w:left w:type="dxa" w:w="100"/>
              <w:bottom w:type="dxa" w:w="60"/>
              <w:right w:type="dxa" w:w="100"/>
            </w:tcMar>
          </w:tcPr>
          <w:p>
            <w:pPr>
              <w:spacing w:after="0"/>
              <w:jc w:val="left"/>
            </w:pPr>
            <w:r>
              <w:rPr>
                <w:b w:val="false"/>
                <w:bCs w:val="false"/>
              </w:rPr>
              <w:t xml:space="preserve">Expression → label mapping</w:t>
            </w:r>
          </w:p>
        </w:tc>
        <w:tc>
          <w:tcPr>
            <w:tcW w:type="dxa" w:w="3626"/>
            <w:tcMar>
              <w:top w:type="dxa" w:w="60"/>
              <w:left w:type="dxa" w:w="100"/>
              <w:bottom w:type="dxa" w:w="60"/>
              <w:right w:type="dxa" w:w="100"/>
            </w:tcMar>
          </w:tcPr>
          <w:p>
            <w:pPr>
              <w:spacing w:after="0"/>
              <w:jc w:val="left"/>
            </w:pPr>
            <w:r>
              <w:rPr>
                <w:b w:val="false"/>
                <w:bCs w:val="false"/>
              </w:rPr>
              <w:t xml:space="preserve">The canonical trained skill in the RCT literature</w:t>
            </w:r>
          </w:p>
        </w:tc>
      </w:tr>
      <w:tr>
        <w:tc>
          <w:tcPr>
            <w:tcW w:type="dxa" w:w="2600"/>
            <w:tcMar>
              <w:top w:type="dxa" w:w="60"/>
              <w:left w:type="dxa" w:w="100"/>
              <w:bottom w:type="dxa" w:w="60"/>
              <w:right w:type="dxa" w:w="100"/>
            </w:tcMar>
          </w:tcPr>
          <w:p>
            <w:pPr>
              <w:spacing w:after="0"/>
              <w:jc w:val="left"/>
            </w:pPr>
            <w:r>
              <w:rPr>
                <w:b w:val="false"/>
                <w:bCs w:val="false"/>
              </w:rPr>
              <w:t xml:space="preserve">“Who feels X?” group trials</w:t>
            </w:r>
          </w:p>
        </w:tc>
        <w:tc>
          <w:tcPr>
            <w:tcW w:type="dxa" w:w="2800"/>
            <w:tcMar>
              <w:top w:type="dxa" w:w="60"/>
              <w:left w:type="dxa" w:w="100"/>
              <w:bottom w:type="dxa" w:w="60"/>
              <w:right w:type="dxa" w:w="100"/>
            </w:tcMar>
          </w:tcPr>
          <w:p>
            <w:pPr>
              <w:spacing w:after="0"/>
              <w:jc w:val="left"/>
            </w:pPr>
            <w:r>
              <w:rPr>
                <w:b w:val="false"/>
                <w:bCs w:val="false"/>
              </w:rPr>
              <w:t xml:space="preserve">Label → expression mapping</w:t>
            </w:r>
          </w:p>
        </w:tc>
        <w:tc>
          <w:tcPr>
            <w:tcW w:type="dxa" w:w="3626"/>
            <w:tcMar>
              <w:top w:type="dxa" w:w="60"/>
              <w:left w:type="dxa" w:w="100"/>
              <w:bottom w:type="dxa" w:w="60"/>
              <w:right w:type="dxa" w:w="100"/>
            </w:tcMar>
          </w:tcPr>
          <w:p>
            <w:pPr>
              <w:spacing w:after="0"/>
              <w:jc w:val="left"/>
            </w:pPr>
            <w:r>
              <w:rPr>
                <w:b w:val="false"/>
                <w:bCs w:val="false"/>
              </w:rPr>
              <w:t xml:space="preserve">Forces scanning and comparison of multiple faces, closer to real group settings</w:t>
            </w:r>
          </w:p>
        </w:tc>
      </w:tr>
      <w:tr>
        <w:tc>
          <w:tcPr>
            <w:tcW w:type="dxa" w:w="2600"/>
            <w:tcMar>
              <w:top w:type="dxa" w:w="60"/>
              <w:left w:type="dxa" w:w="100"/>
              <w:bottom w:type="dxa" w:w="60"/>
              <w:right w:type="dxa" w:w="100"/>
            </w:tcMar>
          </w:tcPr>
          <w:p>
            <w:pPr>
              <w:spacing w:after="0"/>
              <w:jc w:val="left"/>
            </w:pPr>
            <w:r>
              <w:rPr>
                <w:b w:val="false"/>
                <w:bCs w:val="false"/>
              </w:rPr>
              <w:t xml:space="preserve">Distractor engine with confusability tiers</w:t>
            </w:r>
          </w:p>
        </w:tc>
        <w:tc>
          <w:tcPr>
            <w:tcW w:type="dxa" w:w="2800"/>
            <w:tcMar>
              <w:top w:type="dxa" w:w="60"/>
              <w:left w:type="dxa" w:w="100"/>
              <w:bottom w:type="dxa" w:w="60"/>
              <w:right w:type="dxa" w:w="100"/>
            </w:tcMar>
          </w:tcPr>
          <w:p>
            <w:pPr>
              <w:spacing w:after="0"/>
              <w:jc w:val="left"/>
            </w:pPr>
            <w:r>
              <w:rPr>
                <w:b w:val="false"/>
                <w:bCs w:val="false"/>
              </w:rPr>
              <w:t xml:space="preserve">Fine discrimination between similar emotions</w:t>
            </w:r>
          </w:p>
        </w:tc>
        <w:tc>
          <w:tcPr>
            <w:tcW w:type="dxa" w:w="3626"/>
            <w:tcMar>
              <w:top w:type="dxa" w:w="60"/>
              <w:left w:type="dxa" w:w="100"/>
              <w:bottom w:type="dxa" w:w="60"/>
              <w:right w:type="dxa" w:w="100"/>
            </w:tcMar>
          </w:tcPr>
          <w:p>
            <w:pPr>
              <w:spacing w:after="0"/>
              <w:jc w:val="left"/>
            </w:pPr>
            <w:r>
              <w:rPr>
                <w:b w:val="false"/>
                <w:bCs w:val="false"/>
              </w:rPr>
              <w:t xml:space="preserve">Easy levels draw distractors from any emotion; hard levels force confusable pairs (fear↔surprise, anger↔disgust, sad↔scared)</w:t>
            </w:r>
          </w:p>
        </w:tc>
      </w:tr>
      <w:tr>
        <w:tc>
          <w:tcPr>
            <w:tcW w:type="dxa" w:w="2600"/>
            <w:tcMar>
              <w:top w:type="dxa" w:w="60"/>
              <w:left w:type="dxa" w:w="100"/>
              <w:bottom w:type="dxa" w:w="60"/>
              <w:right w:type="dxa" w:w="100"/>
            </w:tcMar>
          </w:tcPr>
          <w:p>
            <w:pPr>
              <w:spacing w:after="0"/>
              <w:jc w:val="left"/>
            </w:pPr>
            <w:r>
              <w:rPr>
                <w:b w:val="false"/>
                <w:bCs w:val="false"/>
              </w:rPr>
              <w:t xml:space="preserve">Tri-modal answer cards</w:t>
            </w:r>
          </w:p>
        </w:tc>
        <w:tc>
          <w:tcPr>
            <w:tcW w:type="dxa" w:w="2800"/>
            <w:tcMar>
              <w:top w:type="dxa" w:w="60"/>
              <w:left w:type="dxa" w:w="100"/>
              <w:bottom w:type="dxa" w:w="60"/>
              <w:right w:type="dxa" w:w="100"/>
            </w:tcMar>
          </w:tcPr>
          <w:p>
            <w:pPr>
              <w:spacing w:after="0"/>
              <w:jc w:val="left"/>
            </w:pPr>
            <w:r>
              <w:rPr>
                <w:b w:val="false"/>
                <w:bCs w:val="false"/>
              </w:rPr>
              <w:t xml:space="preserve">Label access without reading demand</w:t>
            </w:r>
          </w:p>
        </w:tc>
        <w:tc>
          <w:tcPr>
            <w:tcW w:type="dxa" w:w="3626"/>
            <w:tcMar>
              <w:top w:type="dxa" w:w="60"/>
              <w:left w:type="dxa" w:w="100"/>
              <w:bottom w:type="dxa" w:w="60"/>
              <w:right w:type="dxa" w:w="100"/>
            </w:tcMar>
          </w:tcPr>
          <w:p>
            <w:pPr>
              <w:spacing w:after="0"/>
              <w:jc w:val="left"/>
            </w:pPr>
            <w:r>
              <w:rPr>
                <w:b w:val="false"/>
                <w:bCs w:val="false"/>
              </w:rPr>
              <w:t xml:space="preserve">Separates emotion knowledge from literacy; Malayalam-first</w:t>
            </w:r>
          </w:p>
        </w:tc>
      </w:tr>
    </w:tbl>
    <w:p>
      <w:pPr>
        <w:pStyle w:val="Heading3"/>
        <w:spacing w:after="100" w:before="200"/>
      </w:pPr>
      <w:r>
        <w:t xml:space="preserve">Difficulty progression</w:t>
      </w:r>
    </w:p>
    <w:p>
      <w:pPr>
        <w:pStyle w:val="ListParagraph"/>
        <w:numPr>
          <w:ilvl w:val="0"/>
          <w:numId w:val="2"/>
        </w:numPr>
        <w:spacing w:after="80"/>
      </w:pPr>
      <w:r>
        <w:t xml:space="preserve">Easy: full-intensity prototypical faces, unrelated distractors.</w:t>
      </w:r>
    </w:p>
    <w:p>
      <w:pPr>
        <w:pStyle w:val="ListParagraph"/>
        <w:numPr>
          <w:ilvl w:val="0"/>
          <w:numId w:val="2"/>
        </w:numPr>
        <w:spacing w:after="80"/>
      </w:pPr>
      <w:r>
        <w:t xml:space="preserve">Medium: mixed distractors, complex emotions introduced.</w:t>
      </w:r>
    </w:p>
    <w:p>
      <w:pPr>
        <w:pStyle w:val="ListParagraph"/>
        <w:numPr>
          <w:ilvl w:val="0"/>
          <w:numId w:val="2"/>
        </w:numPr>
        <w:spacing w:after="80"/>
      </w:pPr>
      <w:r>
        <w:t xml:space="preserve">Hard: confusable distractor always present; subtler exemplars.</w:t>
      </w:r>
    </w:p>
    <w:p>
      <w:pPr>
        <w:pStyle w:val="Heading3"/>
        <w:spacing w:after="100" w:before="200"/>
      </w:pPr>
      <w:r>
        <w:t xml:space="preserve">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E8EEF7" w:val="clear"/>
            <w:tcMar>
              <w:top w:type="dxa" w:w="60"/>
              <w:left w:type="dxa" w:w="100"/>
              <w:bottom w:type="dxa" w:w="60"/>
              <w:right w:type="dxa" w:w="100"/>
            </w:tcMar>
          </w:tcPr>
          <w:p>
            <w:pPr>
              <w:spacing w:after="0"/>
              <w:jc w:val="left"/>
            </w:pPr>
            <w:r>
              <w:rPr>
                <w:b/>
                <w:bCs/>
              </w:rPr>
              <w:t xml:space="preserve">Metric</w:t>
            </w:r>
          </w:p>
        </w:tc>
        <w:tc>
          <w:tcPr>
            <w:tcW w:type="dxa" w:w="3300"/>
            <w:shd w:fill="E8EEF7" w:val="clear"/>
            <w:tcMar>
              <w:top w:type="dxa" w:w="60"/>
              <w:left w:type="dxa" w:w="100"/>
              <w:bottom w:type="dxa" w:w="60"/>
              <w:right w:type="dxa" w:w="100"/>
            </w:tcMar>
          </w:tcPr>
          <w:p>
            <w:pPr>
              <w:spacing w:after="0"/>
              <w:jc w:val="left"/>
            </w:pPr>
            <w:r>
              <w:rPr>
                <w:b/>
                <w:bCs/>
              </w:rPr>
              <w:t xml:space="preserve">Operational definition</w:t>
            </w:r>
          </w:p>
        </w:tc>
        <w:tc>
          <w:tcPr>
            <w:tcW w:type="dxa" w:w="3526"/>
            <w:shd w:fill="E8EEF7" w:val="clear"/>
            <w:tcMar>
              <w:top w:type="dxa" w:w="60"/>
              <w:left w:type="dxa" w:w="100"/>
              <w:bottom w:type="dxa" w:w="60"/>
              <w:right w:type="dxa" w:w="100"/>
            </w:tcMar>
          </w:tcPr>
          <w:p>
            <w:pPr>
              <w:spacing w:after="0"/>
              <w:jc w:val="left"/>
            </w:pPr>
            <w:r>
              <w:rPr>
                <w:b/>
                <w:bCs/>
              </w:rPr>
              <w:t xml:space="preserve">Why it matters</w:t>
            </w:r>
          </w:p>
        </w:tc>
      </w:tr>
      <w:tr>
        <w:tc>
          <w:tcPr>
            <w:tcW w:type="dxa" w:w="2200"/>
            <w:tcMar>
              <w:top w:type="dxa" w:w="60"/>
              <w:left w:type="dxa" w:w="100"/>
              <w:bottom w:type="dxa" w:w="60"/>
              <w:right w:type="dxa" w:w="100"/>
            </w:tcMar>
          </w:tcPr>
          <w:p>
            <w:pPr>
              <w:spacing w:after="0"/>
              <w:jc w:val="left"/>
            </w:pPr>
            <w:r>
              <w:rPr>
                <w:b w:val="false"/>
                <w:bCs w:val="false"/>
              </w:rPr>
              <w:t xml:space="preserve">Accuracy per trial</w:t>
            </w:r>
          </w:p>
        </w:tc>
        <w:tc>
          <w:tcPr>
            <w:tcW w:type="dxa" w:w="3300"/>
            <w:tcMar>
              <w:top w:type="dxa" w:w="60"/>
              <w:left w:type="dxa" w:w="100"/>
              <w:bottom w:type="dxa" w:w="60"/>
              <w:right w:type="dxa" w:w="100"/>
            </w:tcMar>
          </w:tcPr>
          <w:p>
            <w:pPr>
              <w:spacing w:after="0"/>
              <w:jc w:val="left"/>
            </w:pPr>
            <w:r>
              <w:rPr>
                <w:b w:val="false"/>
                <w:bCs w:val="false"/>
              </w:rPr>
              <w:t xml:space="preserve">Correct / total, per emotion</w:t>
            </w:r>
          </w:p>
        </w:tc>
        <w:tc>
          <w:tcPr>
            <w:tcW w:type="dxa" w:w="3526"/>
            <w:tcMar>
              <w:top w:type="dxa" w:w="60"/>
              <w:left w:type="dxa" w:w="100"/>
              <w:bottom w:type="dxa" w:w="60"/>
              <w:right w:type="dxa" w:w="100"/>
            </w:tcMar>
          </w:tcPr>
          <w:p>
            <w:pPr>
              <w:spacing w:after="0"/>
              <w:jc w:val="left"/>
            </w:pPr>
            <w:r>
              <w:rPr>
                <w:b w:val="false"/>
                <w:bCs w:val="false"/>
              </w:rPr>
              <w:t xml:space="preserve">Primary performance index; per-emotion breakdown reveals which emotions need work</w:t>
            </w:r>
          </w:p>
        </w:tc>
      </w:tr>
      <w:tr>
        <w:tc>
          <w:tcPr>
            <w:tcW w:type="dxa" w:w="2200"/>
            <w:tcMar>
              <w:top w:type="dxa" w:w="60"/>
              <w:left w:type="dxa" w:w="100"/>
              <w:bottom w:type="dxa" w:w="60"/>
              <w:right w:type="dxa" w:w="100"/>
            </w:tcMar>
          </w:tcPr>
          <w:p>
            <w:pPr>
              <w:spacing w:after="0"/>
              <w:jc w:val="left"/>
            </w:pPr>
            <w:r>
              <w:rPr>
                <w:b w:val="false"/>
                <w:bCs w:val="false"/>
              </w:rPr>
              <w:t xml:space="preserve">Response latency</w:t>
            </w:r>
          </w:p>
        </w:tc>
        <w:tc>
          <w:tcPr>
            <w:tcW w:type="dxa" w:w="3300"/>
            <w:tcMar>
              <w:top w:type="dxa" w:w="60"/>
              <w:left w:type="dxa" w:w="100"/>
              <w:bottom w:type="dxa" w:w="60"/>
              <w:right w:type="dxa" w:w="100"/>
            </w:tcMar>
          </w:tcPr>
          <w:p>
            <w:pPr>
              <w:spacing w:after="0"/>
              <w:jc w:val="left"/>
            </w:pPr>
            <w:r>
              <w:rPr>
                <w:b w:val="false"/>
                <w:bCs w:val="false"/>
              </w:rPr>
              <w:t xml:space="preserve">ms from options shown to selection</w:t>
            </w:r>
          </w:p>
        </w:tc>
        <w:tc>
          <w:tcPr>
            <w:tcW w:type="dxa" w:w="3526"/>
            <w:tcMar>
              <w:top w:type="dxa" w:w="60"/>
              <w:left w:type="dxa" w:w="100"/>
              <w:bottom w:type="dxa" w:w="60"/>
              <w:right w:type="dxa" w:w="100"/>
            </w:tcMar>
          </w:tcPr>
          <w:p>
            <w:pPr>
              <w:spacing w:after="0"/>
              <w:jc w:val="left"/>
            </w:pPr>
            <w:r>
              <w:rPr>
                <w:b w:val="false"/>
                <w:bCs w:val="false"/>
              </w:rPr>
              <w:t xml:space="preserve">Fluency index; falling latency at stable accuracy indicates consolidation</w:t>
            </w:r>
          </w:p>
        </w:tc>
      </w:tr>
      <w:tr>
        <w:tc>
          <w:tcPr>
            <w:tcW w:type="dxa" w:w="2200"/>
            <w:tcMar>
              <w:top w:type="dxa" w:w="60"/>
              <w:left w:type="dxa" w:w="100"/>
              <w:bottom w:type="dxa" w:w="60"/>
              <w:right w:type="dxa" w:w="100"/>
            </w:tcMar>
          </w:tcPr>
          <w:p>
            <w:pPr>
              <w:spacing w:after="0"/>
              <w:jc w:val="left"/>
            </w:pPr>
            <w:r>
              <w:rPr>
                <w:b w:val="false"/>
                <w:bCs w:val="false"/>
              </w:rPr>
              <w:t xml:space="preserve">Confusion pattern</w:t>
            </w:r>
          </w:p>
        </w:tc>
        <w:tc>
          <w:tcPr>
            <w:tcW w:type="dxa" w:w="3300"/>
            <w:tcMar>
              <w:top w:type="dxa" w:w="60"/>
              <w:left w:type="dxa" w:w="100"/>
              <w:bottom w:type="dxa" w:w="60"/>
              <w:right w:type="dxa" w:w="100"/>
            </w:tcMar>
          </w:tcPr>
          <w:p>
            <w:pPr>
              <w:spacing w:after="0"/>
              <w:jc w:val="left"/>
            </w:pPr>
            <w:r>
              <w:rPr>
                <w:b w:val="false"/>
                <w:bCs w:val="false"/>
              </w:rPr>
              <w:t xml:space="preserve">Chosen emotion × target emotion matrix</w:t>
            </w:r>
          </w:p>
        </w:tc>
        <w:tc>
          <w:tcPr>
            <w:tcW w:type="dxa" w:w="3526"/>
            <w:tcMar>
              <w:top w:type="dxa" w:w="60"/>
              <w:left w:type="dxa" w:w="100"/>
              <w:bottom w:type="dxa" w:w="60"/>
              <w:right w:type="dxa" w:w="100"/>
            </w:tcMar>
          </w:tcPr>
          <w:p>
            <w:pPr>
              <w:spacing w:after="0"/>
              <w:jc w:val="left"/>
            </w:pPr>
            <w:r>
              <w:rPr>
                <w:b w:val="false"/>
                <w:bCs w:val="false"/>
              </w:rPr>
              <w:t xml:space="preserve">Distinguishes random error from systematic confusions (e.g., fear↔surprise)</w:t>
            </w:r>
          </w:p>
        </w:tc>
      </w:tr>
    </w:tbl>
    <w:p>
      <w:pPr>
        <w:pStyle w:val="Heading3"/>
        <w:spacing w:after="100" w:before="200"/>
      </w:pPr>
      <w:r>
        <w:t xml:space="preserve">VR build notes</w:t>
      </w:r>
    </w:p>
    <w:p>
      <w:pPr>
        <w:spacing w:after="120"/>
      </w:pPr>
      <w:r>
        <w:t xml:space="preserve">Emotion Room 360 places the same “Who feels X?” task in an immersive gallery: faces stand on boards across the frontal arc and the child turns their head to scan them before tapping the correct person. Distractor confusability and hint fading follow the desktop hard levels. Each trial additionally records head-yaw excursion — how far the child had to turn — an orienting measure unavailable on desktop.</w:t>
      </w:r>
    </w:p>
    <w:p>
      <w:pPr>
        <w:pStyle w:val="Heading2"/>
        <w:spacing w:after="120" w:before="240"/>
      </w:pPr>
      <w:r>
        <w:t xml:space="preserve">4.2 Emotion Clips  (VR build: Emotion Cinema 360)</w:t>
      </w:r>
    </w:p>
    <w:p>
      <w:pPr>
        <w:spacing w:after="120"/>
      </w:pPr>
      <w:r>
        <w:rPr>
          <w:b/>
          <w:bCs/>
        </w:rPr>
        <w:t xml:space="preserve">Target construct. </w:t>
      </w:r>
      <w:r>
        <w:t xml:space="preserve">Recognition of emotions from dynamic, unfolding expressions, and understanding of their situational causes.</w:t>
      </w:r>
    </w:p>
    <w:p>
      <w:pPr>
        <w:spacing w:after="120"/>
      </w:pPr>
      <w:r>
        <w:t xml:space="preserve">Real-life emotion reading is dynamic: expressions build, peak and fade, and are interpreted with context. This game targets the harder, more ecologically valid end of the construct — identifying emotions from motion and from partially-formed expressions, then reasoning about cause (“why does he/she feel …?”).</w:t>
      </w:r>
    </w:p>
    <w:p>
      <w:pPr>
        <w:spacing w:after="120"/>
      </w:pPr>
      <w:r>
        <w:rPr>
          <w:b/>
          <w:bCs/>
        </w:rPr>
        <w:t xml:space="preserve">Evidence base. </w:t>
      </w:r>
      <w:r>
        <w:t xml:space="preserve">The generalization critique of static training (Zhang et al., 2021) motivates dynamic stimuli. Cause-reasoning follow-ups extend recognition toward emotion understanding, the layer that recognition-only training leaves untouched.</w:t>
      </w:r>
    </w:p>
    <w:p>
      <w:pPr>
        <w:spacing w:after="120"/>
      </w:pPr>
      <w:r>
        <w:rPr>
          <w:b/>
          <w:bCs/>
        </w:rPr>
        <w:t xml:space="preserve">Game mechanic. </w:t>
      </w:r>
      <w:r>
        <w:t xml:space="preserve">A short video clip plays; at the decision point it freezes and the child chooses among tri-modal options. On harder levels the freeze comes earlier, on a half-formed expression, with confusable choices. A follow-up asks the child to select the situational cause of the emotion.</w:t>
      </w:r>
    </w:p>
    <w:p>
      <w:pPr>
        <w:pStyle w:val="Heading3"/>
        <w:spacing w:after="100" w:before="200"/>
      </w:pPr>
      <w:r>
        <w:t xml:space="preserve">Construct-to-mechanic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8EEF7" w:val="clear"/>
            <w:tcMar>
              <w:top w:type="dxa" w:w="60"/>
              <w:left w:type="dxa" w:w="100"/>
              <w:bottom w:type="dxa" w:w="60"/>
              <w:right w:type="dxa" w:w="100"/>
            </w:tcMar>
          </w:tcPr>
          <w:p>
            <w:pPr>
              <w:spacing w:after="0"/>
              <w:jc w:val="left"/>
            </w:pPr>
            <w:r>
              <w:rPr>
                <w:b/>
                <w:bCs/>
              </w:rPr>
              <w:t xml:space="preserve">Game element</w:t>
            </w:r>
          </w:p>
        </w:tc>
        <w:tc>
          <w:tcPr>
            <w:tcW w:type="dxa" w:w="2800"/>
            <w:shd w:fill="E8EEF7" w:val="clear"/>
            <w:tcMar>
              <w:top w:type="dxa" w:w="60"/>
              <w:left w:type="dxa" w:w="100"/>
              <w:bottom w:type="dxa" w:w="60"/>
              <w:right w:type="dxa" w:w="100"/>
            </w:tcMar>
          </w:tcPr>
          <w:p>
            <w:pPr>
              <w:spacing w:after="0"/>
              <w:jc w:val="left"/>
            </w:pPr>
            <w:r>
              <w:rPr>
                <w:b/>
                <w:bCs/>
              </w:rPr>
              <w:t xml:space="preserve">Construct feature</w:t>
            </w:r>
          </w:p>
        </w:tc>
        <w:tc>
          <w:tcPr>
            <w:tcW w:type="dxa" w:w="3626"/>
            <w:shd w:fill="E8EEF7" w:val="clear"/>
            <w:tcMar>
              <w:top w:type="dxa" w:w="60"/>
              <w:left w:type="dxa" w:w="100"/>
              <w:bottom w:type="dxa" w:w="60"/>
              <w:right w:type="dxa" w:w="100"/>
            </w:tcMar>
          </w:tcPr>
          <w:p>
            <w:pPr>
              <w:spacing w:after="0"/>
              <w:jc w:val="left"/>
            </w:pPr>
            <w:r>
              <w:rPr>
                <w:b/>
                <w:bCs/>
              </w:rPr>
              <w:t xml:space="preserve">Design rationale</w:t>
            </w:r>
          </w:p>
        </w:tc>
      </w:tr>
      <w:tr>
        <w:tc>
          <w:tcPr>
            <w:tcW w:type="dxa" w:w="2600"/>
            <w:tcMar>
              <w:top w:type="dxa" w:w="60"/>
              <w:left w:type="dxa" w:w="100"/>
              <w:bottom w:type="dxa" w:w="60"/>
              <w:right w:type="dxa" w:w="100"/>
            </w:tcMar>
          </w:tcPr>
          <w:p>
            <w:pPr>
              <w:spacing w:after="0"/>
              <w:jc w:val="left"/>
            </w:pPr>
            <w:r>
              <w:rPr>
                <w:b w:val="false"/>
                <w:bCs w:val="false"/>
              </w:rPr>
              <w:t xml:space="preserve">Video clips instead of photos</w:t>
            </w:r>
          </w:p>
        </w:tc>
        <w:tc>
          <w:tcPr>
            <w:tcW w:type="dxa" w:w="2800"/>
            <w:tcMar>
              <w:top w:type="dxa" w:w="60"/>
              <w:left w:type="dxa" w:w="100"/>
              <w:bottom w:type="dxa" w:w="60"/>
              <w:right w:type="dxa" w:w="100"/>
            </w:tcMar>
          </w:tcPr>
          <w:p>
            <w:pPr>
              <w:spacing w:after="0"/>
              <w:jc w:val="left"/>
            </w:pPr>
            <w:r>
              <w:rPr>
                <w:b w:val="false"/>
                <w:bCs w:val="false"/>
              </w:rPr>
              <w:t xml:space="preserve">Dynamic expression decoding</w:t>
            </w:r>
          </w:p>
        </w:tc>
        <w:tc>
          <w:tcPr>
            <w:tcW w:type="dxa" w:w="3626"/>
            <w:tcMar>
              <w:top w:type="dxa" w:w="60"/>
              <w:left w:type="dxa" w:w="100"/>
              <w:bottom w:type="dxa" w:w="60"/>
              <w:right w:type="dxa" w:w="100"/>
            </w:tcMar>
          </w:tcPr>
          <w:p>
            <w:pPr>
              <w:spacing w:after="0"/>
              <w:jc w:val="left"/>
            </w:pPr>
            <w:r>
              <w:rPr>
                <w:b w:val="false"/>
                <w:bCs w:val="false"/>
              </w:rPr>
              <w:t xml:space="preserve">Closer to everyday perception; targets the generalization gap of static training</w:t>
            </w:r>
          </w:p>
        </w:tc>
      </w:tr>
      <w:tr>
        <w:tc>
          <w:tcPr>
            <w:tcW w:type="dxa" w:w="2600"/>
            <w:tcMar>
              <w:top w:type="dxa" w:w="60"/>
              <w:left w:type="dxa" w:w="100"/>
              <w:bottom w:type="dxa" w:w="60"/>
              <w:right w:type="dxa" w:w="100"/>
            </w:tcMar>
          </w:tcPr>
          <w:p>
            <w:pPr>
              <w:spacing w:after="0"/>
              <w:jc w:val="left"/>
            </w:pPr>
            <w:r>
              <w:rPr>
                <w:b w:val="false"/>
                <w:bCs w:val="false"/>
              </w:rPr>
              <w:t xml:space="preserve">Early freeze-frames at hard levels</w:t>
            </w:r>
          </w:p>
        </w:tc>
        <w:tc>
          <w:tcPr>
            <w:tcW w:type="dxa" w:w="2800"/>
            <w:tcMar>
              <w:top w:type="dxa" w:w="60"/>
              <w:left w:type="dxa" w:w="100"/>
              <w:bottom w:type="dxa" w:w="60"/>
              <w:right w:type="dxa" w:w="100"/>
            </w:tcMar>
          </w:tcPr>
          <w:p>
            <w:pPr>
              <w:spacing w:after="0"/>
              <w:jc w:val="left"/>
            </w:pPr>
            <w:r>
              <w:rPr>
                <w:b w:val="false"/>
                <w:bCs w:val="false"/>
              </w:rPr>
              <w:t xml:space="preserve">Low-intensity/partial expression recognition</w:t>
            </w:r>
          </w:p>
        </w:tc>
        <w:tc>
          <w:tcPr>
            <w:tcW w:type="dxa" w:w="3626"/>
            <w:tcMar>
              <w:top w:type="dxa" w:w="60"/>
              <w:left w:type="dxa" w:w="100"/>
              <w:bottom w:type="dxa" w:w="60"/>
              <w:right w:type="dxa" w:w="100"/>
            </w:tcMar>
          </w:tcPr>
          <w:p>
            <w:pPr>
              <w:spacing w:after="0"/>
              <w:jc w:val="left"/>
            </w:pPr>
            <w:r>
              <w:rPr>
                <w:b w:val="false"/>
                <w:bCs w:val="false"/>
              </w:rPr>
              <w:t xml:space="preserve">The sensitive skill band for ages 7–15; full-intensity faces show ceiling effects in older children</w:t>
            </w:r>
          </w:p>
        </w:tc>
      </w:tr>
      <w:tr>
        <w:tc>
          <w:tcPr>
            <w:tcW w:type="dxa" w:w="2600"/>
            <w:tcMar>
              <w:top w:type="dxa" w:w="60"/>
              <w:left w:type="dxa" w:w="100"/>
              <w:bottom w:type="dxa" w:w="60"/>
              <w:right w:type="dxa" w:w="100"/>
            </w:tcMar>
          </w:tcPr>
          <w:p>
            <w:pPr>
              <w:spacing w:after="0"/>
              <w:jc w:val="left"/>
            </w:pPr>
            <w:r>
              <w:rPr>
                <w:b w:val="false"/>
                <w:bCs w:val="false"/>
              </w:rPr>
              <w:t xml:space="preserve">“Why does he/she feel…?” follow-up</w:t>
            </w:r>
          </w:p>
        </w:tc>
        <w:tc>
          <w:tcPr>
            <w:tcW w:type="dxa" w:w="2800"/>
            <w:tcMar>
              <w:top w:type="dxa" w:w="60"/>
              <w:left w:type="dxa" w:w="100"/>
              <w:bottom w:type="dxa" w:w="60"/>
              <w:right w:type="dxa" w:w="100"/>
            </w:tcMar>
          </w:tcPr>
          <w:p>
            <w:pPr>
              <w:spacing w:after="0"/>
              <w:jc w:val="left"/>
            </w:pPr>
            <w:r>
              <w:rPr>
                <w:b w:val="false"/>
                <w:bCs w:val="false"/>
              </w:rPr>
              <w:t xml:space="preserve">Emotion understanding (cause attribution)</w:t>
            </w:r>
          </w:p>
        </w:tc>
        <w:tc>
          <w:tcPr>
            <w:tcW w:type="dxa" w:w="3626"/>
            <w:tcMar>
              <w:top w:type="dxa" w:w="60"/>
              <w:left w:type="dxa" w:w="100"/>
              <w:bottom w:type="dxa" w:w="60"/>
              <w:right w:type="dxa" w:w="100"/>
            </w:tcMar>
          </w:tcPr>
          <w:p>
            <w:pPr>
              <w:spacing w:after="0"/>
              <w:jc w:val="left"/>
            </w:pPr>
            <w:r>
              <w:rPr>
                <w:b w:val="false"/>
                <w:bCs w:val="false"/>
              </w:rPr>
              <w:t xml:space="preserve">Links the label to its situational cause, moving beyond rote labelling</w:t>
            </w:r>
          </w:p>
        </w:tc>
      </w:tr>
    </w:tbl>
    <w:p>
      <w:pPr>
        <w:pStyle w:val="Heading3"/>
        <w:spacing w:after="100" w:before="200"/>
      </w:pPr>
      <w:r>
        <w:t xml:space="preserve">Difficulty progression</w:t>
      </w:r>
    </w:p>
    <w:p>
      <w:pPr>
        <w:pStyle w:val="ListParagraph"/>
        <w:numPr>
          <w:ilvl w:val="0"/>
          <w:numId w:val="2"/>
        </w:numPr>
        <w:spacing w:after="80"/>
      </w:pPr>
      <w:r>
        <w:t xml:space="preserve">Easy: clip runs to the expression peak; mixed distractors.</w:t>
      </w:r>
    </w:p>
    <w:p>
      <w:pPr>
        <w:pStyle w:val="ListParagraph"/>
        <w:numPr>
          <w:ilvl w:val="0"/>
          <w:numId w:val="2"/>
        </w:numPr>
        <w:spacing w:after="80"/>
      </w:pPr>
      <w:r>
        <w:t xml:space="preserve">Medium: earlier freeze; complex emotions appear.</w:t>
      </w:r>
    </w:p>
    <w:p>
      <w:pPr>
        <w:pStyle w:val="ListParagraph"/>
        <w:numPr>
          <w:ilvl w:val="0"/>
          <w:numId w:val="2"/>
        </w:numPr>
        <w:spacing w:after="80"/>
      </w:pPr>
      <w:r>
        <w:t xml:space="preserve">Hard: freeze on a partially-formed (~40–50% intensity) expression; confusable distractors forced.</w:t>
      </w:r>
    </w:p>
    <w:p>
      <w:pPr>
        <w:pStyle w:val="Heading3"/>
        <w:spacing w:after="100" w:before="200"/>
      </w:pPr>
      <w:r>
        <w:t xml:space="preserve">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E8EEF7" w:val="clear"/>
            <w:tcMar>
              <w:top w:type="dxa" w:w="60"/>
              <w:left w:type="dxa" w:w="100"/>
              <w:bottom w:type="dxa" w:w="60"/>
              <w:right w:type="dxa" w:w="100"/>
            </w:tcMar>
          </w:tcPr>
          <w:p>
            <w:pPr>
              <w:spacing w:after="0"/>
              <w:jc w:val="left"/>
            </w:pPr>
            <w:r>
              <w:rPr>
                <w:b/>
                <w:bCs/>
              </w:rPr>
              <w:t xml:space="preserve">Metric</w:t>
            </w:r>
          </w:p>
        </w:tc>
        <w:tc>
          <w:tcPr>
            <w:tcW w:type="dxa" w:w="3300"/>
            <w:shd w:fill="E8EEF7" w:val="clear"/>
            <w:tcMar>
              <w:top w:type="dxa" w:w="60"/>
              <w:left w:type="dxa" w:w="100"/>
              <w:bottom w:type="dxa" w:w="60"/>
              <w:right w:type="dxa" w:w="100"/>
            </w:tcMar>
          </w:tcPr>
          <w:p>
            <w:pPr>
              <w:spacing w:after="0"/>
              <w:jc w:val="left"/>
            </w:pPr>
            <w:r>
              <w:rPr>
                <w:b/>
                <w:bCs/>
              </w:rPr>
              <w:t xml:space="preserve">Operational definition</w:t>
            </w:r>
          </w:p>
        </w:tc>
        <w:tc>
          <w:tcPr>
            <w:tcW w:type="dxa" w:w="3526"/>
            <w:shd w:fill="E8EEF7" w:val="clear"/>
            <w:tcMar>
              <w:top w:type="dxa" w:w="60"/>
              <w:left w:type="dxa" w:w="100"/>
              <w:bottom w:type="dxa" w:w="60"/>
              <w:right w:type="dxa" w:w="100"/>
            </w:tcMar>
          </w:tcPr>
          <w:p>
            <w:pPr>
              <w:spacing w:after="0"/>
              <w:jc w:val="left"/>
            </w:pPr>
            <w:r>
              <w:rPr>
                <w:b/>
                <w:bCs/>
              </w:rPr>
              <w:t xml:space="preserve">Why it matters</w:t>
            </w:r>
          </w:p>
        </w:tc>
      </w:tr>
      <w:tr>
        <w:tc>
          <w:tcPr>
            <w:tcW w:type="dxa" w:w="2200"/>
            <w:tcMar>
              <w:top w:type="dxa" w:w="60"/>
              <w:left w:type="dxa" w:w="100"/>
              <w:bottom w:type="dxa" w:w="60"/>
              <w:right w:type="dxa" w:w="100"/>
            </w:tcMar>
          </w:tcPr>
          <w:p>
            <w:pPr>
              <w:spacing w:after="0"/>
              <w:jc w:val="left"/>
            </w:pPr>
            <w:r>
              <w:rPr>
                <w:b w:val="false"/>
                <w:bCs w:val="false"/>
              </w:rPr>
              <w:t xml:space="preserve">Accuracy per trial</w:t>
            </w:r>
          </w:p>
        </w:tc>
        <w:tc>
          <w:tcPr>
            <w:tcW w:type="dxa" w:w="3300"/>
            <w:tcMar>
              <w:top w:type="dxa" w:w="60"/>
              <w:left w:type="dxa" w:w="100"/>
              <w:bottom w:type="dxa" w:w="60"/>
              <w:right w:type="dxa" w:w="100"/>
            </w:tcMar>
          </w:tcPr>
          <w:p>
            <w:pPr>
              <w:spacing w:after="0"/>
              <w:jc w:val="left"/>
            </w:pPr>
            <w:r>
              <w:rPr>
                <w:b w:val="false"/>
                <w:bCs w:val="false"/>
              </w:rPr>
              <w:t xml:space="preserve">Correct / total, split by freeze tier</w:t>
            </w:r>
          </w:p>
        </w:tc>
        <w:tc>
          <w:tcPr>
            <w:tcW w:type="dxa" w:w="3526"/>
            <w:tcMar>
              <w:top w:type="dxa" w:w="60"/>
              <w:left w:type="dxa" w:w="100"/>
              <w:bottom w:type="dxa" w:w="60"/>
              <w:right w:type="dxa" w:w="100"/>
            </w:tcMar>
          </w:tcPr>
          <w:p>
            <w:pPr>
              <w:spacing w:after="0"/>
              <w:jc w:val="left"/>
            </w:pPr>
            <w:r>
              <w:rPr>
                <w:b w:val="false"/>
                <w:bCs w:val="false"/>
              </w:rPr>
              <w:t xml:space="preserve">The partial-intensity slice is the pre-registered sensitive band</w:t>
            </w:r>
          </w:p>
        </w:tc>
      </w:tr>
      <w:tr>
        <w:tc>
          <w:tcPr>
            <w:tcW w:type="dxa" w:w="2200"/>
            <w:tcMar>
              <w:top w:type="dxa" w:w="60"/>
              <w:left w:type="dxa" w:w="100"/>
              <w:bottom w:type="dxa" w:w="60"/>
              <w:right w:type="dxa" w:w="100"/>
            </w:tcMar>
          </w:tcPr>
          <w:p>
            <w:pPr>
              <w:spacing w:after="0"/>
              <w:jc w:val="left"/>
            </w:pPr>
            <w:r>
              <w:rPr>
                <w:b w:val="false"/>
                <w:bCs w:val="false"/>
              </w:rPr>
              <w:t xml:space="preserve">Cause accuracy</w:t>
            </w:r>
          </w:p>
        </w:tc>
        <w:tc>
          <w:tcPr>
            <w:tcW w:type="dxa" w:w="3300"/>
            <w:tcMar>
              <w:top w:type="dxa" w:w="60"/>
              <w:left w:type="dxa" w:w="100"/>
              <w:bottom w:type="dxa" w:w="60"/>
              <w:right w:type="dxa" w:w="100"/>
            </w:tcMar>
          </w:tcPr>
          <w:p>
            <w:pPr>
              <w:spacing w:after="0"/>
              <w:jc w:val="left"/>
            </w:pPr>
            <w:r>
              <w:rPr>
                <w:b w:val="false"/>
                <w:bCs w:val="false"/>
              </w:rPr>
              <w:t xml:space="preserve">Correct cause selections / cause trials</w:t>
            </w:r>
          </w:p>
        </w:tc>
        <w:tc>
          <w:tcPr>
            <w:tcW w:type="dxa" w:w="3526"/>
            <w:tcMar>
              <w:top w:type="dxa" w:w="60"/>
              <w:left w:type="dxa" w:w="100"/>
              <w:bottom w:type="dxa" w:w="60"/>
              <w:right w:type="dxa" w:w="100"/>
            </w:tcMar>
          </w:tcPr>
          <w:p>
            <w:pPr>
              <w:spacing w:after="0"/>
              <w:jc w:val="left"/>
            </w:pPr>
            <w:r>
              <w:rPr>
                <w:b w:val="false"/>
                <w:bCs w:val="false"/>
              </w:rPr>
              <w:t xml:space="preserve">Separates recognition from understanding</w:t>
            </w:r>
          </w:p>
        </w:tc>
      </w:tr>
      <w:tr>
        <w:tc>
          <w:tcPr>
            <w:tcW w:type="dxa" w:w="2200"/>
            <w:tcMar>
              <w:top w:type="dxa" w:w="60"/>
              <w:left w:type="dxa" w:w="100"/>
              <w:bottom w:type="dxa" w:w="60"/>
              <w:right w:type="dxa" w:w="100"/>
            </w:tcMar>
          </w:tcPr>
          <w:p>
            <w:pPr>
              <w:spacing w:after="0"/>
              <w:jc w:val="left"/>
            </w:pPr>
            <w:r>
              <w:rPr>
                <w:b w:val="false"/>
                <w:bCs w:val="false"/>
              </w:rPr>
              <w:t xml:space="preserve">Response latency</w:t>
            </w:r>
          </w:p>
        </w:tc>
        <w:tc>
          <w:tcPr>
            <w:tcW w:type="dxa" w:w="3300"/>
            <w:tcMar>
              <w:top w:type="dxa" w:w="60"/>
              <w:left w:type="dxa" w:w="100"/>
              <w:bottom w:type="dxa" w:w="60"/>
              <w:right w:type="dxa" w:w="100"/>
            </w:tcMar>
          </w:tcPr>
          <w:p>
            <w:pPr>
              <w:spacing w:after="0"/>
              <w:jc w:val="left"/>
            </w:pPr>
            <w:r>
              <w:rPr>
                <w:b w:val="false"/>
                <w:bCs w:val="false"/>
              </w:rPr>
              <w:t xml:space="preserve">ms from freeze to selection</w:t>
            </w:r>
          </w:p>
        </w:tc>
        <w:tc>
          <w:tcPr>
            <w:tcW w:type="dxa" w:w="3526"/>
            <w:tcMar>
              <w:top w:type="dxa" w:w="60"/>
              <w:left w:type="dxa" w:w="100"/>
              <w:bottom w:type="dxa" w:w="60"/>
              <w:right w:type="dxa" w:w="100"/>
            </w:tcMar>
          </w:tcPr>
          <w:p>
            <w:pPr>
              <w:spacing w:after="0"/>
              <w:jc w:val="left"/>
            </w:pPr>
            <w:r>
              <w:rPr>
                <w:b w:val="false"/>
                <w:bCs w:val="false"/>
              </w:rPr>
              <w:t xml:space="preserve">Fluency of on-line emotion decoding</w:t>
            </w:r>
          </w:p>
        </w:tc>
      </w:tr>
    </w:tbl>
    <w:p>
      <w:pPr>
        <w:pStyle w:val="Heading3"/>
        <w:spacing w:after="100" w:before="200"/>
      </w:pPr>
      <w:r>
        <w:t xml:space="preserve">VR build notes</w:t>
      </w:r>
    </w:p>
    <w:p>
      <w:pPr>
        <w:spacing w:after="120"/>
      </w:pPr>
      <w:r>
        <w:t xml:space="preserve">Emotion Cinema 360 shows the same clips, freeze logic, tiered choices and cause follow-up on a large screen in an immersive media room, with in-world answer cards at a comfortable height and distance. The screen distance/height and card placement follow VR-comfort guidance (fixed horizon, frontal arc, no locomotion).</w:t>
      </w:r>
    </w:p>
    <w:p>
      <w:r>
        <w:br w:type="page"/>
      </w:r>
    </w:p>
    <w:p>
      <w:pPr>
        <w:pStyle w:val="Heading1"/>
        <w:spacing w:after="140" w:before="280"/>
      </w:pPr>
      <w:r>
        <w:t xml:space="preserve">5. Skill domain II — Turn-taking</w:t>
      </w:r>
    </w:p>
    <w:p>
      <w:pPr>
        <w:spacing w:after="120"/>
      </w:pPr>
      <w:r>
        <w:rPr>
          <w:b/>
          <w:bCs/>
        </w:rPr>
        <w:t xml:space="preserve">Construct. </w:t>
      </w:r>
      <w:r>
        <w:t xml:space="preserve">Social-emotional reciprocity: the back-and-forth exchange that structures interaction. Reduced reciprocity is DSM-5 criterion A1 for ASD (American Psychiatric Association, 2013). Turn-taking is its most concrete, teachable form and comprises at least two separable facets: (a) inhibiting action and monitoring while another takes a turn, and (b) reading a partner’s cues to time one’s own contribution.</w:t>
      </w:r>
    </w:p>
    <w:p>
      <w:pPr>
        <w:spacing w:after="120"/>
      </w:pPr>
      <w:r>
        <w:rPr>
          <w:b/>
          <w:bCs/>
        </w:rPr>
        <w:t xml:space="preserve">Domain evidence. </w:t>
      </w:r>
      <w:r>
        <w:t xml:space="preserve">Turn-taking routines are one of the named common elements of empirically validated Naturalistic Developmental Behavioral Interventions (Schreibman et al., 2015): shared control, natural contingencies, modelling, and prompt fading. The two games in this domain implement exactly these elements in game form — one game per facet.</w:t>
      </w:r>
    </w:p>
    <w:p>
      <w:pPr>
        <w:pStyle w:val="Heading2"/>
        <w:spacing w:after="120" w:before="240"/>
      </w:pPr>
      <w:r>
        <w:t xml:space="preserve">5.1 Block Buddies  (VR build: Playroom 360)</w:t>
      </w:r>
    </w:p>
    <w:p>
      <w:pPr>
        <w:spacing w:after="120"/>
      </w:pPr>
      <w:r>
        <w:rPr>
          <w:b/>
          <w:bCs/>
        </w:rPr>
        <w:t xml:space="preserve">Target construct. </w:t>
      </w:r>
      <w:r>
        <w:t xml:space="preserve">Waiting, action inhibition and turn monitoring within a cooperative building activity.</w:t>
      </w:r>
    </w:p>
    <w:p>
      <w:pPr>
        <w:spacing w:after="120"/>
      </w:pPr>
      <w:r>
        <w:t xml:space="preserve">The child and computer partners build a shared structure, taking turns. The child must act on their turn and refrain from acting on others’ turns — the concrete, observable core of “waiting your turn.”</w:t>
      </w:r>
    </w:p>
    <w:p>
      <w:pPr>
        <w:spacing w:after="120"/>
      </w:pPr>
      <w:r>
        <w:rPr>
          <w:b/>
          <w:bCs/>
        </w:rPr>
        <w:t xml:space="preserve">Evidence base. </w:t>
      </w:r>
      <w:r>
        <w:t xml:space="preserve">Structured cooperative play with alternating turns is a staple of reciprocity teaching in NDBI practice (Schreibman et al., 2015): the activity is intrinsically motivating, the contingency is natural (the tower only grows when turns are respected), and the partner models the target behaviour on every alternate turn.</w:t>
      </w:r>
    </w:p>
    <w:p>
      <w:pPr>
        <w:spacing w:after="120"/>
      </w:pPr>
      <w:r>
        <w:rPr>
          <w:b/>
          <w:bCs/>
        </w:rPr>
        <w:t xml:space="preserve">Game mechanic. </w:t>
      </w:r>
      <w:r>
        <w:t xml:space="preserve">Turns rotate around the play group. On the child’s turn they grab and place a block; during others’ turns their pieces are visually active but acting out of turn is registered (and gently redirected), not rewarded. At higher tiers the turn order is shuffled so the child must monitor whose turn it is rather than count.</w:t>
      </w:r>
    </w:p>
    <w:p>
      <w:pPr>
        <w:pStyle w:val="Heading3"/>
        <w:spacing w:after="100" w:before="200"/>
      </w:pPr>
      <w:r>
        <w:t xml:space="preserve">Construct-to-mechanic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8EEF7" w:val="clear"/>
            <w:tcMar>
              <w:top w:type="dxa" w:w="60"/>
              <w:left w:type="dxa" w:w="100"/>
              <w:bottom w:type="dxa" w:w="60"/>
              <w:right w:type="dxa" w:w="100"/>
            </w:tcMar>
          </w:tcPr>
          <w:p>
            <w:pPr>
              <w:spacing w:after="0"/>
              <w:jc w:val="left"/>
            </w:pPr>
            <w:r>
              <w:rPr>
                <w:b/>
                <w:bCs/>
              </w:rPr>
              <w:t xml:space="preserve">Game element</w:t>
            </w:r>
          </w:p>
        </w:tc>
        <w:tc>
          <w:tcPr>
            <w:tcW w:type="dxa" w:w="2800"/>
            <w:shd w:fill="E8EEF7" w:val="clear"/>
            <w:tcMar>
              <w:top w:type="dxa" w:w="60"/>
              <w:left w:type="dxa" w:w="100"/>
              <w:bottom w:type="dxa" w:w="60"/>
              <w:right w:type="dxa" w:w="100"/>
            </w:tcMar>
          </w:tcPr>
          <w:p>
            <w:pPr>
              <w:spacing w:after="0"/>
              <w:jc w:val="left"/>
            </w:pPr>
            <w:r>
              <w:rPr>
                <w:b/>
                <w:bCs/>
              </w:rPr>
              <w:t xml:space="preserve">Construct feature</w:t>
            </w:r>
          </w:p>
        </w:tc>
        <w:tc>
          <w:tcPr>
            <w:tcW w:type="dxa" w:w="3626"/>
            <w:shd w:fill="E8EEF7" w:val="clear"/>
            <w:tcMar>
              <w:top w:type="dxa" w:w="60"/>
              <w:left w:type="dxa" w:w="100"/>
              <w:bottom w:type="dxa" w:w="60"/>
              <w:right w:type="dxa" w:w="100"/>
            </w:tcMar>
          </w:tcPr>
          <w:p>
            <w:pPr>
              <w:spacing w:after="0"/>
              <w:jc w:val="left"/>
            </w:pPr>
            <w:r>
              <w:rPr>
                <w:b/>
                <w:bCs/>
              </w:rPr>
              <w:t xml:space="preserve">Design rationale</w:t>
            </w:r>
          </w:p>
        </w:tc>
      </w:tr>
      <w:tr>
        <w:tc>
          <w:tcPr>
            <w:tcW w:type="dxa" w:w="2600"/>
            <w:tcMar>
              <w:top w:type="dxa" w:w="60"/>
              <w:left w:type="dxa" w:w="100"/>
              <w:bottom w:type="dxa" w:w="60"/>
              <w:right w:type="dxa" w:w="100"/>
            </w:tcMar>
          </w:tcPr>
          <w:p>
            <w:pPr>
              <w:spacing w:after="0"/>
              <w:jc w:val="left"/>
            </w:pPr>
            <w:r>
              <w:rPr>
                <w:b w:val="false"/>
                <w:bCs w:val="false"/>
              </w:rPr>
              <w:t xml:space="preserve">Alternating build turns</w:t>
            </w:r>
          </w:p>
        </w:tc>
        <w:tc>
          <w:tcPr>
            <w:tcW w:type="dxa" w:w="2800"/>
            <w:tcMar>
              <w:top w:type="dxa" w:w="60"/>
              <w:left w:type="dxa" w:w="100"/>
              <w:bottom w:type="dxa" w:w="60"/>
              <w:right w:type="dxa" w:w="100"/>
            </w:tcMar>
          </w:tcPr>
          <w:p>
            <w:pPr>
              <w:spacing w:after="0"/>
              <w:jc w:val="left"/>
            </w:pPr>
            <w:r>
              <w:rPr>
                <w:b w:val="false"/>
                <w:bCs w:val="false"/>
              </w:rPr>
              <w:t xml:space="preserve">Reciprocal exchange structure</w:t>
            </w:r>
          </w:p>
        </w:tc>
        <w:tc>
          <w:tcPr>
            <w:tcW w:type="dxa" w:w="3626"/>
            <w:tcMar>
              <w:top w:type="dxa" w:w="60"/>
              <w:left w:type="dxa" w:w="100"/>
              <w:bottom w:type="dxa" w:w="60"/>
              <w:right w:type="dxa" w:w="100"/>
            </w:tcMar>
          </w:tcPr>
          <w:p>
            <w:pPr>
              <w:spacing w:after="0"/>
              <w:jc w:val="left"/>
            </w:pPr>
            <w:r>
              <w:rPr>
                <w:b w:val="false"/>
                <w:bCs w:val="false"/>
              </w:rPr>
              <w:t xml:space="preserve">The most basic reciprocity form, made concrete and visible</w:t>
            </w:r>
          </w:p>
        </w:tc>
      </w:tr>
      <w:tr>
        <w:tc>
          <w:tcPr>
            <w:tcW w:type="dxa" w:w="2600"/>
            <w:tcMar>
              <w:top w:type="dxa" w:w="60"/>
              <w:left w:type="dxa" w:w="100"/>
              <w:bottom w:type="dxa" w:w="60"/>
              <w:right w:type="dxa" w:w="100"/>
            </w:tcMar>
          </w:tcPr>
          <w:p>
            <w:pPr>
              <w:spacing w:after="0"/>
              <w:jc w:val="left"/>
            </w:pPr>
            <w:r>
              <w:rPr>
                <w:b w:val="false"/>
                <w:bCs w:val="false"/>
              </w:rPr>
              <w:t xml:space="preserve">Out-of-turn grabs logged and redirected</w:t>
            </w:r>
          </w:p>
        </w:tc>
        <w:tc>
          <w:tcPr>
            <w:tcW w:type="dxa" w:w="2800"/>
            <w:tcMar>
              <w:top w:type="dxa" w:w="60"/>
              <w:left w:type="dxa" w:w="100"/>
              <w:bottom w:type="dxa" w:w="60"/>
              <w:right w:type="dxa" w:w="100"/>
            </w:tcMar>
          </w:tcPr>
          <w:p>
            <w:pPr>
              <w:spacing w:after="0"/>
              <w:jc w:val="left"/>
            </w:pPr>
            <w:r>
              <w:rPr>
                <w:b w:val="false"/>
                <w:bCs w:val="false"/>
              </w:rPr>
              <w:t xml:space="preserve">Action inhibition while waiting</w:t>
            </w:r>
          </w:p>
        </w:tc>
        <w:tc>
          <w:tcPr>
            <w:tcW w:type="dxa" w:w="3626"/>
            <w:tcMar>
              <w:top w:type="dxa" w:w="60"/>
              <w:left w:type="dxa" w:w="100"/>
              <w:bottom w:type="dxa" w:w="60"/>
              <w:right w:type="dxa" w:w="100"/>
            </w:tcMar>
          </w:tcPr>
          <w:p>
            <w:pPr>
              <w:spacing w:after="0"/>
              <w:jc w:val="left"/>
            </w:pPr>
            <w:r>
              <w:rPr>
                <w:b w:val="false"/>
                <w:bCs w:val="false"/>
              </w:rPr>
              <w:t xml:space="preserve">The clinically meaningful error; gentle redirection follows errorless-teaching practice</w:t>
            </w:r>
          </w:p>
        </w:tc>
      </w:tr>
      <w:tr>
        <w:tc>
          <w:tcPr>
            <w:tcW w:type="dxa" w:w="2600"/>
            <w:tcMar>
              <w:top w:type="dxa" w:w="60"/>
              <w:left w:type="dxa" w:w="100"/>
              <w:bottom w:type="dxa" w:w="60"/>
              <w:right w:type="dxa" w:w="100"/>
            </w:tcMar>
          </w:tcPr>
          <w:p>
            <w:pPr>
              <w:spacing w:after="0"/>
              <w:jc w:val="left"/>
            </w:pPr>
            <w:r>
              <w:rPr>
                <w:b w:val="false"/>
                <w:bCs w:val="false"/>
              </w:rPr>
              <w:t xml:space="preserve">Shuffled turn order at higher tiers</w:t>
            </w:r>
          </w:p>
        </w:tc>
        <w:tc>
          <w:tcPr>
            <w:tcW w:type="dxa" w:w="2800"/>
            <w:tcMar>
              <w:top w:type="dxa" w:w="60"/>
              <w:left w:type="dxa" w:w="100"/>
              <w:bottom w:type="dxa" w:w="60"/>
              <w:right w:type="dxa" w:w="100"/>
            </w:tcMar>
          </w:tcPr>
          <w:p>
            <w:pPr>
              <w:spacing w:after="0"/>
              <w:jc w:val="left"/>
            </w:pPr>
            <w:r>
              <w:rPr>
                <w:b w:val="false"/>
                <w:bCs w:val="false"/>
              </w:rPr>
              <w:t xml:space="preserve">Active partner monitoring</w:t>
            </w:r>
          </w:p>
        </w:tc>
        <w:tc>
          <w:tcPr>
            <w:tcW w:type="dxa" w:w="3626"/>
            <w:tcMar>
              <w:top w:type="dxa" w:w="60"/>
              <w:left w:type="dxa" w:w="100"/>
              <w:bottom w:type="dxa" w:w="60"/>
              <w:right w:type="dxa" w:w="100"/>
            </w:tcMar>
          </w:tcPr>
          <w:p>
            <w:pPr>
              <w:spacing w:after="0"/>
              <w:jc w:val="left"/>
            </w:pPr>
            <w:r>
              <w:rPr>
                <w:b w:val="false"/>
                <w:bCs w:val="false"/>
              </w:rPr>
              <w:t xml:space="preserve">Prevents rote counting; the child must attend to whose turn it is, as in real play</w:t>
            </w:r>
          </w:p>
        </w:tc>
      </w:tr>
      <w:tr>
        <w:tc>
          <w:tcPr>
            <w:tcW w:type="dxa" w:w="2600"/>
            <w:tcMar>
              <w:top w:type="dxa" w:w="60"/>
              <w:left w:type="dxa" w:w="100"/>
              <w:bottom w:type="dxa" w:w="60"/>
              <w:right w:type="dxa" w:w="100"/>
            </w:tcMar>
          </w:tcPr>
          <w:p>
            <w:pPr>
              <w:spacing w:after="0"/>
              <w:jc w:val="left"/>
            </w:pPr>
            <w:r>
              <w:rPr>
                <w:b w:val="false"/>
                <w:bCs w:val="false"/>
              </w:rPr>
              <w:t xml:space="preserve">Shared tower as the outcome</w:t>
            </w:r>
          </w:p>
        </w:tc>
        <w:tc>
          <w:tcPr>
            <w:tcW w:type="dxa" w:w="2800"/>
            <w:tcMar>
              <w:top w:type="dxa" w:w="60"/>
              <w:left w:type="dxa" w:w="100"/>
              <w:bottom w:type="dxa" w:w="60"/>
              <w:right w:type="dxa" w:w="100"/>
            </w:tcMar>
          </w:tcPr>
          <w:p>
            <w:pPr>
              <w:spacing w:after="0"/>
              <w:jc w:val="left"/>
            </w:pPr>
            <w:r>
              <w:rPr>
                <w:b w:val="false"/>
                <w:bCs w:val="false"/>
              </w:rPr>
              <w:t xml:space="preserve">Natural contingency</w:t>
            </w:r>
          </w:p>
        </w:tc>
        <w:tc>
          <w:tcPr>
            <w:tcW w:type="dxa" w:w="3626"/>
            <w:tcMar>
              <w:top w:type="dxa" w:w="60"/>
              <w:left w:type="dxa" w:w="100"/>
              <w:bottom w:type="dxa" w:w="60"/>
              <w:right w:type="dxa" w:w="100"/>
            </w:tcMar>
          </w:tcPr>
          <w:p>
            <w:pPr>
              <w:spacing w:after="0"/>
              <w:jc w:val="left"/>
            </w:pPr>
            <w:r>
              <w:rPr>
                <w:b w:val="false"/>
                <w:bCs w:val="false"/>
              </w:rPr>
              <w:t xml:space="preserve">The reward is the joint product, not tokens (NDBI principle)</w:t>
            </w:r>
          </w:p>
        </w:tc>
      </w:tr>
    </w:tbl>
    <w:p>
      <w:pPr>
        <w:pStyle w:val="Heading3"/>
        <w:spacing w:after="100" w:before="200"/>
      </w:pPr>
      <w:r>
        <w:t xml:space="preserve">Difficulty progression</w:t>
      </w:r>
    </w:p>
    <w:p>
      <w:pPr>
        <w:pStyle w:val="ListParagraph"/>
        <w:numPr>
          <w:ilvl w:val="0"/>
          <w:numId w:val="2"/>
        </w:numPr>
        <w:spacing w:after="80"/>
      </w:pPr>
      <w:r>
        <w:t xml:space="preserve">Fixed rotation → the child can predict their turn.</w:t>
      </w:r>
    </w:p>
    <w:p>
      <w:pPr>
        <w:pStyle w:val="ListParagraph"/>
        <w:numPr>
          <w:ilvl w:val="0"/>
          <w:numId w:val="2"/>
        </w:numPr>
        <w:spacing w:after="80"/>
      </w:pPr>
      <w:r>
        <w:t xml:space="preserve">Shuffled order → the child must watch the group to know when to act.</w:t>
      </w:r>
    </w:p>
    <w:p>
      <w:pPr>
        <w:pStyle w:val="ListParagraph"/>
        <w:numPr>
          <w:ilvl w:val="0"/>
          <w:numId w:val="2"/>
        </w:numPr>
        <w:spacing w:after="80"/>
      </w:pPr>
      <w:r>
        <w:t xml:space="preserve">Grab-and-place motor step added → sustains engagement across the wait.</w:t>
      </w:r>
    </w:p>
    <w:p>
      <w:pPr>
        <w:pStyle w:val="Heading3"/>
        <w:spacing w:after="100" w:before="200"/>
      </w:pPr>
      <w:r>
        <w:t xml:space="preserve">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E8EEF7" w:val="clear"/>
            <w:tcMar>
              <w:top w:type="dxa" w:w="60"/>
              <w:left w:type="dxa" w:w="100"/>
              <w:bottom w:type="dxa" w:w="60"/>
              <w:right w:type="dxa" w:w="100"/>
            </w:tcMar>
          </w:tcPr>
          <w:p>
            <w:pPr>
              <w:spacing w:after="0"/>
              <w:jc w:val="left"/>
            </w:pPr>
            <w:r>
              <w:rPr>
                <w:b/>
                <w:bCs/>
              </w:rPr>
              <w:t xml:space="preserve">Metric</w:t>
            </w:r>
          </w:p>
        </w:tc>
        <w:tc>
          <w:tcPr>
            <w:tcW w:type="dxa" w:w="3300"/>
            <w:shd w:fill="E8EEF7" w:val="clear"/>
            <w:tcMar>
              <w:top w:type="dxa" w:w="60"/>
              <w:left w:type="dxa" w:w="100"/>
              <w:bottom w:type="dxa" w:w="60"/>
              <w:right w:type="dxa" w:w="100"/>
            </w:tcMar>
          </w:tcPr>
          <w:p>
            <w:pPr>
              <w:spacing w:after="0"/>
              <w:jc w:val="left"/>
            </w:pPr>
            <w:r>
              <w:rPr>
                <w:b/>
                <w:bCs/>
              </w:rPr>
              <w:t xml:space="preserve">Operational definition</w:t>
            </w:r>
          </w:p>
        </w:tc>
        <w:tc>
          <w:tcPr>
            <w:tcW w:type="dxa" w:w="3526"/>
            <w:shd w:fill="E8EEF7" w:val="clear"/>
            <w:tcMar>
              <w:top w:type="dxa" w:w="60"/>
              <w:left w:type="dxa" w:w="100"/>
              <w:bottom w:type="dxa" w:w="60"/>
              <w:right w:type="dxa" w:w="100"/>
            </w:tcMar>
          </w:tcPr>
          <w:p>
            <w:pPr>
              <w:spacing w:after="0"/>
              <w:jc w:val="left"/>
            </w:pPr>
            <w:r>
              <w:rPr>
                <w:b/>
                <w:bCs/>
              </w:rPr>
              <w:t xml:space="preserve">Why it matters</w:t>
            </w:r>
          </w:p>
        </w:tc>
      </w:tr>
      <w:tr>
        <w:tc>
          <w:tcPr>
            <w:tcW w:type="dxa" w:w="2200"/>
            <w:tcMar>
              <w:top w:type="dxa" w:w="60"/>
              <w:left w:type="dxa" w:w="100"/>
              <w:bottom w:type="dxa" w:w="60"/>
              <w:right w:type="dxa" w:w="100"/>
            </w:tcMar>
          </w:tcPr>
          <w:p>
            <w:pPr>
              <w:spacing w:after="0"/>
              <w:jc w:val="left"/>
            </w:pPr>
            <w:r>
              <w:rPr>
                <w:b w:val="false"/>
                <w:bCs w:val="false"/>
              </w:rPr>
              <w:t xml:space="preserve">Out-of-turn acts</w:t>
            </w:r>
          </w:p>
        </w:tc>
        <w:tc>
          <w:tcPr>
            <w:tcW w:type="dxa" w:w="3300"/>
            <w:tcMar>
              <w:top w:type="dxa" w:w="60"/>
              <w:left w:type="dxa" w:w="100"/>
              <w:bottom w:type="dxa" w:w="60"/>
              <w:right w:type="dxa" w:w="100"/>
            </w:tcMar>
          </w:tcPr>
          <w:p>
            <w:pPr>
              <w:spacing w:after="0"/>
              <w:jc w:val="left"/>
            </w:pPr>
            <w:r>
              <w:rPr>
                <w:b w:val="false"/>
                <w:bCs w:val="false"/>
              </w:rPr>
              <w:t xml:space="preserve">Count of acts during others’ turns</w:t>
            </w:r>
          </w:p>
        </w:tc>
        <w:tc>
          <w:tcPr>
            <w:tcW w:type="dxa" w:w="3526"/>
            <w:tcMar>
              <w:top w:type="dxa" w:w="60"/>
              <w:left w:type="dxa" w:w="100"/>
              <w:bottom w:type="dxa" w:w="60"/>
              <w:right w:type="dxa" w:w="100"/>
            </w:tcMar>
          </w:tcPr>
          <w:p>
            <w:pPr>
              <w:spacing w:after="0"/>
              <w:jc w:val="left"/>
            </w:pPr>
            <w:r>
              <w:rPr>
                <w:b w:val="false"/>
                <w:bCs w:val="false"/>
              </w:rPr>
              <w:t xml:space="preserve">Primary inhibition/waiting index; expected to fall across sessions</w:t>
            </w:r>
          </w:p>
        </w:tc>
      </w:tr>
      <w:tr>
        <w:tc>
          <w:tcPr>
            <w:tcW w:type="dxa" w:w="2200"/>
            <w:tcMar>
              <w:top w:type="dxa" w:w="60"/>
              <w:left w:type="dxa" w:w="100"/>
              <w:bottom w:type="dxa" w:w="60"/>
              <w:right w:type="dxa" w:w="100"/>
            </w:tcMar>
          </w:tcPr>
          <w:p>
            <w:pPr>
              <w:spacing w:after="0"/>
              <w:jc w:val="left"/>
            </w:pPr>
            <w:r>
              <w:rPr>
                <w:b w:val="false"/>
                <w:bCs w:val="false"/>
              </w:rPr>
              <w:t xml:space="preserve">Initiation delay</w:t>
            </w:r>
          </w:p>
        </w:tc>
        <w:tc>
          <w:tcPr>
            <w:tcW w:type="dxa" w:w="3300"/>
            <w:tcMar>
              <w:top w:type="dxa" w:w="60"/>
              <w:left w:type="dxa" w:w="100"/>
              <w:bottom w:type="dxa" w:w="60"/>
              <w:right w:type="dxa" w:w="100"/>
            </w:tcMar>
          </w:tcPr>
          <w:p>
            <w:pPr>
              <w:spacing w:after="0"/>
              <w:jc w:val="left"/>
            </w:pPr>
            <w:r>
              <w:rPr>
                <w:b w:val="false"/>
                <w:bCs w:val="false"/>
              </w:rPr>
              <w:t xml:space="preserve">ms from turn cue to first act on own turn</w:t>
            </w:r>
          </w:p>
        </w:tc>
        <w:tc>
          <w:tcPr>
            <w:tcW w:type="dxa" w:w="3526"/>
            <w:tcMar>
              <w:top w:type="dxa" w:w="60"/>
              <w:left w:type="dxa" w:w="100"/>
              <w:bottom w:type="dxa" w:w="60"/>
              <w:right w:type="dxa" w:w="100"/>
            </w:tcMar>
          </w:tcPr>
          <w:p>
            <w:pPr>
              <w:spacing w:after="0"/>
              <w:jc w:val="left"/>
            </w:pPr>
            <w:r>
              <w:rPr>
                <w:b w:val="false"/>
                <w:bCs w:val="false"/>
              </w:rPr>
              <w:t xml:space="preserve">Detects both impulsivity (near-zero across trials) and disengagement (long delays)</w:t>
            </w:r>
          </w:p>
        </w:tc>
      </w:tr>
      <w:tr>
        <w:tc>
          <w:tcPr>
            <w:tcW w:type="dxa" w:w="2200"/>
            <w:tcMar>
              <w:top w:type="dxa" w:w="60"/>
              <w:left w:type="dxa" w:w="100"/>
              <w:bottom w:type="dxa" w:w="60"/>
              <w:right w:type="dxa" w:w="100"/>
            </w:tcMar>
          </w:tcPr>
          <w:p>
            <w:pPr>
              <w:spacing w:after="0"/>
              <w:jc w:val="left"/>
            </w:pPr>
            <w:r>
              <w:rPr>
                <w:b w:val="false"/>
                <w:bCs w:val="false"/>
              </w:rPr>
              <w:t xml:space="preserve">Completion</w:t>
            </w:r>
          </w:p>
        </w:tc>
        <w:tc>
          <w:tcPr>
            <w:tcW w:type="dxa" w:w="3300"/>
            <w:tcMar>
              <w:top w:type="dxa" w:w="60"/>
              <w:left w:type="dxa" w:w="100"/>
              <w:bottom w:type="dxa" w:w="60"/>
              <w:right w:type="dxa" w:w="100"/>
            </w:tcMar>
          </w:tcPr>
          <w:p>
            <w:pPr>
              <w:spacing w:after="0"/>
              <w:jc w:val="left"/>
            </w:pPr>
            <w:r>
              <w:rPr>
                <w:b w:val="false"/>
                <w:bCs w:val="false"/>
              </w:rPr>
              <w:t xml:space="preserve">% of own turns completed correctly</w:t>
            </w:r>
          </w:p>
        </w:tc>
        <w:tc>
          <w:tcPr>
            <w:tcW w:type="dxa" w:w="3526"/>
            <w:tcMar>
              <w:top w:type="dxa" w:w="60"/>
              <w:left w:type="dxa" w:w="100"/>
              <w:bottom w:type="dxa" w:w="60"/>
              <w:right w:type="dxa" w:w="100"/>
            </w:tcMar>
          </w:tcPr>
          <w:p>
            <w:pPr>
              <w:spacing w:after="0"/>
              <w:jc w:val="left"/>
            </w:pPr>
            <w:r>
              <w:rPr>
                <w:b w:val="false"/>
                <w:bCs w:val="false"/>
              </w:rPr>
              <w:t xml:space="preserve">Engagement and task compliance check</w:t>
            </w:r>
          </w:p>
        </w:tc>
      </w:tr>
    </w:tbl>
    <w:p>
      <w:pPr>
        <w:pStyle w:val="Heading3"/>
        <w:spacing w:after="100" w:before="200"/>
      </w:pPr>
      <w:r>
        <w:t xml:space="preserve">VR build notes</w:t>
      </w:r>
    </w:p>
    <w:p>
      <w:pPr>
        <w:spacing w:after="120"/>
      </w:pPr>
      <w:r>
        <w:t xml:space="preserve">Playroom 360 seats the child at a playroom table with the same build-wait-hand-off logic: they turn their head to watch each friend build, tap their own block on their turn, and pass the turn by tapping the next friend — adding a head-orienting component to turn monitoring.</w:t>
      </w:r>
    </w:p>
    <w:p>
      <w:pPr>
        <w:pStyle w:val="Heading2"/>
        <w:spacing w:after="120" w:before="240"/>
      </w:pPr>
      <w:r>
        <w:t xml:space="preserve">5.2 Roll-Back Buddy  (VR build: Football 360)</w:t>
      </w:r>
    </w:p>
    <w:p>
      <w:pPr>
        <w:spacing w:after="120"/>
      </w:pPr>
      <w:r>
        <w:rPr>
          <w:b/>
          <w:bCs/>
        </w:rPr>
        <w:t xml:space="preserve">Target construct. </w:t>
      </w:r>
      <w:r>
        <w:t xml:space="preserve">Reciprocity with partner-cue reading: timing one’s turn to a partner’s readiness signals.</w:t>
      </w:r>
    </w:p>
    <w:p>
      <w:pPr>
        <w:spacing w:after="120"/>
      </w:pPr>
      <w:r>
        <w:t xml:space="preserve">Beyond waiting, real reciprocity requires reading when the partner is ready. The child rolls a ball back and forth with on-screen partners and must direct it to whichever partner currently shows a readiness cue.</w:t>
      </w:r>
    </w:p>
    <w:p>
      <w:pPr>
        <w:spacing w:after="120"/>
      </w:pPr>
      <w:r>
        <w:rPr>
          <w:b/>
          <w:bCs/>
        </w:rPr>
        <w:t xml:space="preserve">Evidence base. </w:t>
      </w:r>
      <w:r>
        <w:t xml:space="preserve">Cue reading is trained with a fading prompt hierarchy — the standard behavioural teaching tactic also embedded in NDBIs (Schreibman et al., 2015): the readiness cue fades from explicit (voice: “I’m ready!”) to gesture (open hands / wave) to naturalistic body orientation only, transferring stimulus control from artificial to natural cues.</w:t>
      </w:r>
    </w:p>
    <w:p>
      <w:pPr>
        <w:spacing w:after="120"/>
      </w:pPr>
      <w:r>
        <w:rPr>
          <w:b/>
          <w:bCs/>
        </w:rPr>
        <w:t xml:space="preserve">Game mechanic. </w:t>
      </w:r>
      <w:r>
        <w:t xml:space="preserve">A partner signals readiness at one of three cue strengths; the child rolls the ball to that partner. Rolling to a non-signalling partner, or rolling before any cue, is registered as an error and modelled correct. On hard, the child may also initiate rallies themselves.</w:t>
      </w:r>
    </w:p>
    <w:p>
      <w:pPr>
        <w:pStyle w:val="Heading3"/>
        <w:spacing w:after="100" w:before="200"/>
      </w:pPr>
      <w:r>
        <w:t xml:space="preserve">Construct-to-mechanic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8EEF7" w:val="clear"/>
            <w:tcMar>
              <w:top w:type="dxa" w:w="60"/>
              <w:left w:type="dxa" w:w="100"/>
              <w:bottom w:type="dxa" w:w="60"/>
              <w:right w:type="dxa" w:w="100"/>
            </w:tcMar>
          </w:tcPr>
          <w:p>
            <w:pPr>
              <w:spacing w:after="0"/>
              <w:jc w:val="left"/>
            </w:pPr>
            <w:r>
              <w:rPr>
                <w:b/>
                <w:bCs/>
              </w:rPr>
              <w:t xml:space="preserve">Game element</w:t>
            </w:r>
          </w:p>
        </w:tc>
        <w:tc>
          <w:tcPr>
            <w:tcW w:type="dxa" w:w="2800"/>
            <w:shd w:fill="E8EEF7" w:val="clear"/>
            <w:tcMar>
              <w:top w:type="dxa" w:w="60"/>
              <w:left w:type="dxa" w:w="100"/>
              <w:bottom w:type="dxa" w:w="60"/>
              <w:right w:type="dxa" w:w="100"/>
            </w:tcMar>
          </w:tcPr>
          <w:p>
            <w:pPr>
              <w:spacing w:after="0"/>
              <w:jc w:val="left"/>
            </w:pPr>
            <w:r>
              <w:rPr>
                <w:b/>
                <w:bCs/>
              </w:rPr>
              <w:t xml:space="preserve">Construct feature</w:t>
            </w:r>
          </w:p>
        </w:tc>
        <w:tc>
          <w:tcPr>
            <w:tcW w:type="dxa" w:w="3626"/>
            <w:shd w:fill="E8EEF7" w:val="clear"/>
            <w:tcMar>
              <w:top w:type="dxa" w:w="60"/>
              <w:left w:type="dxa" w:w="100"/>
              <w:bottom w:type="dxa" w:w="60"/>
              <w:right w:type="dxa" w:w="100"/>
            </w:tcMar>
          </w:tcPr>
          <w:p>
            <w:pPr>
              <w:spacing w:after="0"/>
              <w:jc w:val="left"/>
            </w:pPr>
            <w:r>
              <w:rPr>
                <w:b/>
                <w:bCs/>
              </w:rPr>
              <w:t xml:space="preserve">Design rationale</w:t>
            </w:r>
          </w:p>
        </w:tc>
      </w:tr>
      <w:tr>
        <w:tc>
          <w:tcPr>
            <w:tcW w:type="dxa" w:w="2600"/>
            <w:tcMar>
              <w:top w:type="dxa" w:w="60"/>
              <w:left w:type="dxa" w:w="100"/>
              <w:bottom w:type="dxa" w:w="60"/>
              <w:right w:type="dxa" w:w="100"/>
            </w:tcMar>
          </w:tcPr>
          <w:p>
            <w:pPr>
              <w:spacing w:after="0"/>
              <w:jc w:val="left"/>
            </w:pPr>
            <w:r>
              <w:rPr>
                <w:b w:val="false"/>
                <w:bCs w:val="false"/>
              </w:rPr>
              <w:t xml:space="preserve">Ball exchange loop</w:t>
            </w:r>
          </w:p>
        </w:tc>
        <w:tc>
          <w:tcPr>
            <w:tcW w:type="dxa" w:w="2800"/>
            <w:tcMar>
              <w:top w:type="dxa" w:w="60"/>
              <w:left w:type="dxa" w:w="100"/>
              <w:bottom w:type="dxa" w:w="60"/>
              <w:right w:type="dxa" w:w="100"/>
            </w:tcMar>
          </w:tcPr>
          <w:p>
            <w:pPr>
              <w:spacing w:after="0"/>
              <w:jc w:val="left"/>
            </w:pPr>
            <w:r>
              <w:rPr>
                <w:b w:val="false"/>
                <w:bCs w:val="false"/>
              </w:rPr>
              <w:t xml:space="preserve">Reciprocal to-and-fro</w:t>
            </w:r>
          </w:p>
        </w:tc>
        <w:tc>
          <w:tcPr>
            <w:tcW w:type="dxa" w:w="3626"/>
            <w:tcMar>
              <w:top w:type="dxa" w:w="60"/>
              <w:left w:type="dxa" w:w="100"/>
              <w:bottom w:type="dxa" w:w="60"/>
              <w:right w:type="dxa" w:w="100"/>
            </w:tcMar>
          </w:tcPr>
          <w:p>
            <w:pPr>
              <w:spacing w:after="0"/>
              <w:jc w:val="left"/>
            </w:pPr>
            <w:r>
              <w:rPr>
                <w:b w:val="false"/>
                <w:bCs w:val="false"/>
              </w:rPr>
              <w:t xml:space="preserve">A universally familiar reciprocity format across cultures and ages</w:t>
            </w:r>
          </w:p>
        </w:tc>
      </w:tr>
      <w:tr>
        <w:tc>
          <w:tcPr>
            <w:tcW w:type="dxa" w:w="2600"/>
            <w:tcMar>
              <w:top w:type="dxa" w:w="60"/>
              <w:left w:type="dxa" w:w="100"/>
              <w:bottom w:type="dxa" w:w="60"/>
              <w:right w:type="dxa" w:w="100"/>
            </w:tcMar>
          </w:tcPr>
          <w:p>
            <w:pPr>
              <w:spacing w:after="0"/>
              <w:jc w:val="left"/>
            </w:pPr>
            <w:r>
              <w:rPr>
                <w:b w:val="false"/>
                <w:bCs w:val="false"/>
              </w:rPr>
              <w:t xml:space="preserve">Readiness-cue fading (voice → gesture → orientation)</w:t>
            </w:r>
          </w:p>
        </w:tc>
        <w:tc>
          <w:tcPr>
            <w:tcW w:type="dxa" w:w="2800"/>
            <w:tcMar>
              <w:top w:type="dxa" w:w="60"/>
              <w:left w:type="dxa" w:w="100"/>
              <w:bottom w:type="dxa" w:w="60"/>
              <w:right w:type="dxa" w:w="100"/>
            </w:tcMar>
          </w:tcPr>
          <w:p>
            <w:pPr>
              <w:spacing w:after="0"/>
              <w:jc w:val="left"/>
            </w:pPr>
            <w:r>
              <w:rPr>
                <w:b w:val="false"/>
                <w:bCs w:val="false"/>
              </w:rPr>
              <w:t xml:space="preserve">Reading natural partner cues</w:t>
            </w:r>
          </w:p>
        </w:tc>
        <w:tc>
          <w:tcPr>
            <w:tcW w:type="dxa" w:w="3626"/>
            <w:tcMar>
              <w:top w:type="dxa" w:w="60"/>
              <w:left w:type="dxa" w:w="100"/>
              <w:bottom w:type="dxa" w:w="60"/>
              <w:right w:type="dxa" w:w="100"/>
            </w:tcMar>
          </w:tcPr>
          <w:p>
            <w:pPr>
              <w:spacing w:after="0"/>
              <w:jc w:val="left"/>
            </w:pPr>
            <w:r>
              <w:rPr>
                <w:b w:val="false"/>
                <w:bCs w:val="false"/>
              </w:rPr>
              <w:t xml:space="preserve">Prompt-fading transfers control to the cues available in real interaction</w:t>
            </w:r>
          </w:p>
        </w:tc>
      </w:tr>
      <w:tr>
        <w:tc>
          <w:tcPr>
            <w:tcW w:type="dxa" w:w="2600"/>
            <w:tcMar>
              <w:top w:type="dxa" w:w="60"/>
              <w:left w:type="dxa" w:w="100"/>
              <w:bottom w:type="dxa" w:w="60"/>
              <w:right w:type="dxa" w:w="100"/>
            </w:tcMar>
          </w:tcPr>
          <w:p>
            <w:pPr>
              <w:spacing w:after="0"/>
              <w:jc w:val="left"/>
            </w:pPr>
            <w:r>
              <w:rPr>
                <w:b w:val="false"/>
                <w:bCs w:val="false"/>
              </w:rPr>
              <w:t xml:space="preserve">Wrong-partner and premature errors distinguished</w:t>
            </w:r>
          </w:p>
        </w:tc>
        <w:tc>
          <w:tcPr>
            <w:tcW w:type="dxa" w:w="2800"/>
            <w:tcMar>
              <w:top w:type="dxa" w:w="60"/>
              <w:left w:type="dxa" w:w="100"/>
              <w:bottom w:type="dxa" w:w="60"/>
              <w:right w:type="dxa" w:w="100"/>
            </w:tcMar>
          </w:tcPr>
          <w:p>
            <w:pPr>
              <w:spacing w:after="0"/>
              <w:jc w:val="left"/>
            </w:pPr>
            <w:r>
              <w:rPr>
                <w:b w:val="false"/>
                <w:bCs w:val="false"/>
              </w:rPr>
              <w:t xml:space="preserve">Cue discrimination vs. impulse control</w:t>
            </w:r>
          </w:p>
        </w:tc>
        <w:tc>
          <w:tcPr>
            <w:tcW w:type="dxa" w:w="3626"/>
            <w:tcMar>
              <w:top w:type="dxa" w:w="60"/>
              <w:left w:type="dxa" w:w="100"/>
              <w:bottom w:type="dxa" w:w="60"/>
              <w:right w:type="dxa" w:w="100"/>
            </w:tcMar>
          </w:tcPr>
          <w:p>
            <w:pPr>
              <w:spacing w:after="0"/>
              <w:jc w:val="left"/>
            </w:pPr>
            <w:r>
              <w:rPr>
                <w:b w:val="false"/>
                <w:bCs w:val="false"/>
              </w:rPr>
              <w:t xml:space="preserve">The two clinically distinct failure modes are logged separately</w:t>
            </w:r>
          </w:p>
        </w:tc>
      </w:tr>
      <w:tr>
        <w:tc>
          <w:tcPr>
            <w:tcW w:type="dxa" w:w="2600"/>
            <w:tcMar>
              <w:top w:type="dxa" w:w="60"/>
              <w:left w:type="dxa" w:w="100"/>
              <w:bottom w:type="dxa" w:w="60"/>
              <w:right w:type="dxa" w:w="100"/>
            </w:tcMar>
          </w:tcPr>
          <w:p>
            <w:pPr>
              <w:spacing w:after="0"/>
              <w:jc w:val="left"/>
            </w:pPr>
            <w:r>
              <w:rPr>
                <w:b w:val="false"/>
                <w:bCs w:val="false"/>
              </w:rPr>
              <w:t xml:space="preserve">Child-initiated rallies (hard)</w:t>
            </w:r>
          </w:p>
        </w:tc>
        <w:tc>
          <w:tcPr>
            <w:tcW w:type="dxa" w:w="2800"/>
            <w:tcMar>
              <w:top w:type="dxa" w:w="60"/>
              <w:left w:type="dxa" w:w="100"/>
              <w:bottom w:type="dxa" w:w="60"/>
              <w:right w:type="dxa" w:w="100"/>
            </w:tcMar>
          </w:tcPr>
          <w:p>
            <w:pPr>
              <w:spacing w:after="0"/>
              <w:jc w:val="left"/>
            </w:pPr>
            <w:r>
              <w:rPr>
                <w:b w:val="false"/>
                <w:bCs w:val="false"/>
              </w:rPr>
              <w:t xml:space="preserve">Initiating reciprocity, not only responding</w:t>
            </w:r>
          </w:p>
        </w:tc>
        <w:tc>
          <w:tcPr>
            <w:tcW w:type="dxa" w:w="3626"/>
            <w:tcMar>
              <w:top w:type="dxa" w:w="60"/>
              <w:left w:type="dxa" w:w="100"/>
              <w:bottom w:type="dxa" w:w="60"/>
              <w:right w:type="dxa" w:w="100"/>
            </w:tcMar>
          </w:tcPr>
          <w:p>
            <w:pPr>
              <w:spacing w:after="0"/>
              <w:jc w:val="left"/>
            </w:pPr>
            <w:r>
              <w:rPr>
                <w:b w:val="false"/>
                <w:bCs w:val="false"/>
              </w:rPr>
              <w:t xml:space="preserve">Moves the child from responder to initiator within the same format</w:t>
            </w:r>
          </w:p>
        </w:tc>
      </w:tr>
    </w:tbl>
    <w:p>
      <w:pPr>
        <w:pStyle w:val="Heading3"/>
        <w:spacing w:after="100" w:before="200"/>
      </w:pPr>
      <w:r>
        <w:t xml:space="preserve">Difficulty progression</w:t>
      </w:r>
    </w:p>
    <w:p>
      <w:pPr>
        <w:pStyle w:val="ListParagraph"/>
        <w:numPr>
          <w:ilvl w:val="0"/>
          <w:numId w:val="2"/>
        </w:numPr>
        <w:spacing w:after="80"/>
      </w:pPr>
      <w:r>
        <w:t xml:space="preserve">Voice cue (explicit) → gesture cue → body-orientation cue only.</w:t>
      </w:r>
    </w:p>
    <w:p>
      <w:pPr>
        <w:pStyle w:val="ListParagraph"/>
        <w:numPr>
          <w:ilvl w:val="0"/>
          <w:numId w:val="2"/>
        </w:numPr>
        <w:spacing w:after="80"/>
      </w:pPr>
      <w:r>
        <w:t xml:space="preserve">Hard adds child-initiated exchanges.</w:t>
      </w:r>
    </w:p>
    <w:p>
      <w:pPr>
        <w:pStyle w:val="Heading3"/>
        <w:spacing w:after="100" w:before="200"/>
      </w:pPr>
      <w:r>
        <w:t xml:space="preserve">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E8EEF7" w:val="clear"/>
            <w:tcMar>
              <w:top w:type="dxa" w:w="60"/>
              <w:left w:type="dxa" w:w="100"/>
              <w:bottom w:type="dxa" w:w="60"/>
              <w:right w:type="dxa" w:w="100"/>
            </w:tcMar>
          </w:tcPr>
          <w:p>
            <w:pPr>
              <w:spacing w:after="0"/>
              <w:jc w:val="left"/>
            </w:pPr>
            <w:r>
              <w:rPr>
                <w:b/>
                <w:bCs/>
              </w:rPr>
              <w:t xml:space="preserve">Metric</w:t>
            </w:r>
          </w:p>
        </w:tc>
        <w:tc>
          <w:tcPr>
            <w:tcW w:type="dxa" w:w="3300"/>
            <w:shd w:fill="E8EEF7" w:val="clear"/>
            <w:tcMar>
              <w:top w:type="dxa" w:w="60"/>
              <w:left w:type="dxa" w:w="100"/>
              <w:bottom w:type="dxa" w:w="60"/>
              <w:right w:type="dxa" w:w="100"/>
            </w:tcMar>
          </w:tcPr>
          <w:p>
            <w:pPr>
              <w:spacing w:after="0"/>
              <w:jc w:val="left"/>
            </w:pPr>
            <w:r>
              <w:rPr>
                <w:b/>
                <w:bCs/>
              </w:rPr>
              <w:t xml:space="preserve">Operational definition</w:t>
            </w:r>
          </w:p>
        </w:tc>
        <w:tc>
          <w:tcPr>
            <w:tcW w:type="dxa" w:w="3526"/>
            <w:shd w:fill="E8EEF7" w:val="clear"/>
            <w:tcMar>
              <w:top w:type="dxa" w:w="60"/>
              <w:left w:type="dxa" w:w="100"/>
              <w:bottom w:type="dxa" w:w="60"/>
              <w:right w:type="dxa" w:w="100"/>
            </w:tcMar>
          </w:tcPr>
          <w:p>
            <w:pPr>
              <w:spacing w:after="0"/>
              <w:jc w:val="left"/>
            </w:pPr>
            <w:r>
              <w:rPr>
                <w:b/>
                <w:bCs/>
              </w:rPr>
              <w:t xml:space="preserve">Why it matters</w:t>
            </w:r>
          </w:p>
        </w:tc>
      </w:tr>
      <w:tr>
        <w:tc>
          <w:tcPr>
            <w:tcW w:type="dxa" w:w="2200"/>
            <w:tcMar>
              <w:top w:type="dxa" w:w="60"/>
              <w:left w:type="dxa" w:w="100"/>
              <w:bottom w:type="dxa" w:w="60"/>
              <w:right w:type="dxa" w:w="100"/>
            </w:tcMar>
          </w:tcPr>
          <w:p>
            <w:pPr>
              <w:spacing w:after="0"/>
              <w:jc w:val="left"/>
            </w:pPr>
            <w:r>
              <w:rPr>
                <w:b w:val="false"/>
                <w:bCs w:val="false"/>
              </w:rPr>
              <w:t xml:space="preserve">Correct-partner rate</w:t>
            </w:r>
          </w:p>
        </w:tc>
        <w:tc>
          <w:tcPr>
            <w:tcW w:type="dxa" w:w="3300"/>
            <w:tcMar>
              <w:top w:type="dxa" w:w="60"/>
              <w:left w:type="dxa" w:w="100"/>
              <w:bottom w:type="dxa" w:w="60"/>
              <w:right w:type="dxa" w:w="100"/>
            </w:tcMar>
          </w:tcPr>
          <w:p>
            <w:pPr>
              <w:spacing w:after="0"/>
              <w:jc w:val="left"/>
            </w:pPr>
            <w:r>
              <w:rPr>
                <w:b w:val="false"/>
                <w:bCs w:val="false"/>
              </w:rPr>
              <w:t xml:space="preserve">% of rolls to the signalling partner, per cue tier</w:t>
            </w:r>
          </w:p>
        </w:tc>
        <w:tc>
          <w:tcPr>
            <w:tcW w:type="dxa" w:w="3526"/>
            <w:tcMar>
              <w:top w:type="dxa" w:w="60"/>
              <w:left w:type="dxa" w:w="100"/>
              <w:bottom w:type="dxa" w:w="60"/>
              <w:right w:type="dxa" w:w="100"/>
            </w:tcMar>
          </w:tcPr>
          <w:p>
            <w:pPr>
              <w:spacing w:after="0"/>
              <w:jc w:val="left"/>
            </w:pPr>
            <w:r>
              <w:rPr>
                <w:b w:val="false"/>
                <w:bCs w:val="false"/>
              </w:rPr>
              <w:t xml:space="preserve">Primary cue-reading index; the orientation-only tier is the sensitive band</w:t>
            </w:r>
          </w:p>
        </w:tc>
      </w:tr>
      <w:tr>
        <w:tc>
          <w:tcPr>
            <w:tcW w:type="dxa" w:w="2200"/>
            <w:tcMar>
              <w:top w:type="dxa" w:w="60"/>
              <w:left w:type="dxa" w:w="100"/>
              <w:bottom w:type="dxa" w:w="60"/>
              <w:right w:type="dxa" w:w="100"/>
            </w:tcMar>
          </w:tcPr>
          <w:p>
            <w:pPr>
              <w:spacing w:after="0"/>
              <w:jc w:val="left"/>
            </w:pPr>
            <w:r>
              <w:rPr>
                <w:b w:val="false"/>
                <w:bCs w:val="false"/>
              </w:rPr>
              <w:t xml:space="preserve">Premature rolls</w:t>
            </w:r>
          </w:p>
        </w:tc>
        <w:tc>
          <w:tcPr>
            <w:tcW w:type="dxa" w:w="3300"/>
            <w:tcMar>
              <w:top w:type="dxa" w:w="60"/>
              <w:left w:type="dxa" w:w="100"/>
              <w:bottom w:type="dxa" w:w="60"/>
              <w:right w:type="dxa" w:w="100"/>
            </w:tcMar>
          </w:tcPr>
          <w:p>
            <w:pPr>
              <w:spacing w:after="0"/>
              <w:jc w:val="left"/>
            </w:pPr>
            <w:r>
              <w:rPr>
                <w:b w:val="false"/>
                <w:bCs w:val="false"/>
              </w:rPr>
              <w:t xml:space="preserve">Rolls before any cue</w:t>
            </w:r>
          </w:p>
        </w:tc>
        <w:tc>
          <w:tcPr>
            <w:tcW w:type="dxa" w:w="3526"/>
            <w:tcMar>
              <w:top w:type="dxa" w:w="60"/>
              <w:left w:type="dxa" w:w="100"/>
              <w:bottom w:type="dxa" w:w="60"/>
              <w:right w:type="dxa" w:w="100"/>
            </w:tcMar>
          </w:tcPr>
          <w:p>
            <w:pPr>
              <w:spacing w:after="0"/>
              <w:jc w:val="left"/>
            </w:pPr>
            <w:r>
              <w:rPr>
                <w:b w:val="false"/>
                <w:bCs w:val="false"/>
              </w:rPr>
              <w:t xml:space="preserve">Impulse-control index, parallel to Block Buddies’ out-of-turn acts</w:t>
            </w:r>
          </w:p>
        </w:tc>
      </w:tr>
      <w:tr>
        <w:tc>
          <w:tcPr>
            <w:tcW w:type="dxa" w:w="2200"/>
            <w:tcMar>
              <w:top w:type="dxa" w:w="60"/>
              <w:left w:type="dxa" w:w="100"/>
              <w:bottom w:type="dxa" w:w="60"/>
              <w:right w:type="dxa" w:w="100"/>
            </w:tcMar>
          </w:tcPr>
          <w:p>
            <w:pPr>
              <w:spacing w:after="0"/>
              <w:jc w:val="left"/>
            </w:pPr>
            <w:r>
              <w:rPr>
                <w:b w:val="false"/>
                <w:bCs w:val="false"/>
              </w:rPr>
              <w:t xml:space="preserve">Initiations (hard)</w:t>
            </w:r>
          </w:p>
        </w:tc>
        <w:tc>
          <w:tcPr>
            <w:tcW w:type="dxa" w:w="3300"/>
            <w:tcMar>
              <w:top w:type="dxa" w:w="60"/>
              <w:left w:type="dxa" w:w="100"/>
              <w:bottom w:type="dxa" w:w="60"/>
              <w:right w:type="dxa" w:w="100"/>
            </w:tcMar>
          </w:tcPr>
          <w:p>
            <w:pPr>
              <w:spacing w:after="0"/>
              <w:jc w:val="left"/>
            </w:pPr>
            <w:r>
              <w:rPr>
                <w:b w:val="false"/>
                <w:bCs w:val="false"/>
              </w:rPr>
              <w:t xml:space="preserve">Child-started rallies</w:t>
            </w:r>
          </w:p>
        </w:tc>
        <w:tc>
          <w:tcPr>
            <w:tcW w:type="dxa" w:w="3526"/>
            <w:tcMar>
              <w:top w:type="dxa" w:w="60"/>
              <w:left w:type="dxa" w:w="100"/>
              <w:bottom w:type="dxa" w:w="60"/>
              <w:right w:type="dxa" w:w="100"/>
            </w:tcMar>
          </w:tcPr>
          <w:p>
            <w:pPr>
              <w:spacing w:after="0"/>
              <w:jc w:val="left"/>
            </w:pPr>
            <w:r>
              <w:rPr>
                <w:b w:val="false"/>
                <w:bCs w:val="false"/>
              </w:rPr>
              <w:t xml:space="preserve">Emergence of active reciprocity</w:t>
            </w:r>
          </w:p>
        </w:tc>
      </w:tr>
    </w:tbl>
    <w:p>
      <w:pPr>
        <w:pStyle w:val="Heading3"/>
        <w:spacing w:after="100" w:before="200"/>
      </w:pPr>
      <w:r>
        <w:t xml:space="preserve">VR build notes</w:t>
      </w:r>
    </w:p>
    <w:p>
      <w:pPr>
        <w:spacing w:after="120"/>
      </w:pPr>
      <w:r>
        <w:t xml:space="preserve">Football 360 restages the identical cue-fading exchange on a football pitch: the child stands at the centre spot and turns their head to find the teammate showing the ready cue before passing. Head-yaw telemetry captures the search behaviour that precedes each pass.</w:t>
      </w:r>
    </w:p>
    <w:p>
      <w:r>
        <w:br w:type="page"/>
      </w:r>
    </w:p>
    <w:p>
      <w:pPr>
        <w:pStyle w:val="Heading1"/>
        <w:spacing w:after="140" w:before="280"/>
      </w:pPr>
      <w:r>
        <w:t xml:space="preserve">6. Skill domain III — Joint attention</w:t>
      </w:r>
    </w:p>
    <w:p>
      <w:pPr>
        <w:spacing w:after="120"/>
      </w:pPr>
      <w:r>
        <w:rPr>
          <w:b/>
          <w:bCs/>
        </w:rPr>
        <w:t xml:space="preserve">Construct. </w:t>
      </w:r>
      <w:r>
        <w:t xml:space="preserve">Coordinating attention with a partner toward a shared object or event. The literature distinguishes two dissociable components (Mundy, Sigman &amp; Kasari, 1990): responding to joint attention (RJA — following another’s point or gaze) and initiating joint attention (IJA — spontaneously directing another’s attention to share interest). Both are early-emerging pivotal skills, markedly delayed in autism, and RJA/IJA are measured separately in the field’s gold-standard assessment, the Early Social Communication Scales (Mundy et al., 2003).</w:t>
      </w:r>
    </w:p>
    <w:p>
      <w:pPr>
        <w:spacing w:after="120"/>
      </w:pPr>
      <w:r>
        <w:rPr>
          <w:b/>
          <w:bCs/>
        </w:rPr>
        <w:t xml:space="preserve">Domain evidence. </w:t>
      </w:r>
      <w:r>
        <w:t xml:space="preserve">Targeted joint-attention intervention is supported by randomized controlled trials: teaching JA improves joint engagement and produces downstream expressive-language gains at follow-up (Kasari, Freeman &amp; Paparella, 2006; Kasari, Paparella, Freeman &amp; Jahromi, 2008). The domain’s two games mirror the field’s RJA/IJA split exactly — one game per component — and reuse the intervention literature’s core tactic of prompt fading toward natural cues.</w:t>
      </w:r>
    </w:p>
    <w:p>
      <w:pPr>
        <w:pStyle w:val="Heading2"/>
        <w:spacing w:after="120" w:before="240"/>
      </w:pPr>
      <w:r>
        <w:t xml:space="preserve">6.1 Museum Look  (VR build: Museum 360)</w:t>
      </w:r>
    </w:p>
    <w:p>
      <w:pPr>
        <w:spacing w:after="120"/>
      </w:pPr>
      <w:r>
        <w:rPr>
          <w:b/>
          <w:bCs/>
        </w:rPr>
        <w:t xml:space="preserve">Target construct. </w:t>
      </w:r>
      <w:r>
        <w:t xml:space="preserve">Responding to joint attention (RJA) — the attention-following prerequisite.</w:t>
      </w:r>
    </w:p>
    <w:p>
      <w:pPr>
        <w:spacing w:after="120"/>
      </w:pPr>
      <w:r>
        <w:t xml:space="preserve">The child follows a helper’s cue (a point, then gaze alone) to the correct exhibit among several. Scope is stated honestly: the game trains the attention-following prerequisite of RJA across gesture and gaze cues — not the full live dyadic exchange, which no screen task can fully reproduce (see Section 9).</w:t>
      </w:r>
    </w:p>
    <w:p>
      <w:pPr>
        <w:spacing w:after="120"/>
      </w:pPr>
      <w:r>
        <w:rPr>
          <w:b/>
          <w:bCs/>
        </w:rPr>
        <w:t xml:space="preserve">Evidence base. </w:t>
      </w:r>
      <w:r>
        <w:t xml:space="preserve">Following points and gaze is the RJA operationalisation used in ESCS probes (Mundy et al., 2003) and the entry target in JA intervention protocols (Kasari et al., 2006). The cue-fading ladder (glowing point → plain point → distant point; interleaved gaze-only trials) implements the prompt-fading tactic those protocols use to reach natural-cue control.</w:t>
      </w:r>
    </w:p>
    <w:p>
      <w:pPr>
        <w:spacing w:after="120"/>
      </w:pPr>
      <w:r>
        <w:rPr>
          <w:b/>
          <w:bCs/>
        </w:rPr>
        <w:t xml:space="preserve">Game mechanic. </w:t>
      </w:r>
      <w:r>
        <w:t xml:space="preserve">A helper cues one of several exhibits; the child selects the cued exhibit. Cue salience fades with success; gaze-only trials (the helper simply looks at the target) are interleaved so both gesture-following and gaze-following are sampled.</w:t>
      </w:r>
    </w:p>
    <w:p>
      <w:pPr>
        <w:pStyle w:val="Heading3"/>
        <w:spacing w:after="100" w:before="200"/>
      </w:pPr>
      <w:r>
        <w:t xml:space="preserve">Construct-to-mechanic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8EEF7" w:val="clear"/>
            <w:tcMar>
              <w:top w:type="dxa" w:w="60"/>
              <w:left w:type="dxa" w:w="100"/>
              <w:bottom w:type="dxa" w:w="60"/>
              <w:right w:type="dxa" w:w="100"/>
            </w:tcMar>
          </w:tcPr>
          <w:p>
            <w:pPr>
              <w:spacing w:after="0"/>
              <w:jc w:val="left"/>
            </w:pPr>
            <w:r>
              <w:rPr>
                <w:b/>
                <w:bCs/>
              </w:rPr>
              <w:t xml:space="preserve">Game element</w:t>
            </w:r>
          </w:p>
        </w:tc>
        <w:tc>
          <w:tcPr>
            <w:tcW w:type="dxa" w:w="2800"/>
            <w:shd w:fill="E8EEF7" w:val="clear"/>
            <w:tcMar>
              <w:top w:type="dxa" w:w="60"/>
              <w:left w:type="dxa" w:w="100"/>
              <w:bottom w:type="dxa" w:w="60"/>
              <w:right w:type="dxa" w:w="100"/>
            </w:tcMar>
          </w:tcPr>
          <w:p>
            <w:pPr>
              <w:spacing w:after="0"/>
              <w:jc w:val="left"/>
            </w:pPr>
            <w:r>
              <w:rPr>
                <w:b/>
                <w:bCs/>
              </w:rPr>
              <w:t xml:space="preserve">Construct feature</w:t>
            </w:r>
          </w:p>
        </w:tc>
        <w:tc>
          <w:tcPr>
            <w:tcW w:type="dxa" w:w="3626"/>
            <w:shd w:fill="E8EEF7" w:val="clear"/>
            <w:tcMar>
              <w:top w:type="dxa" w:w="60"/>
              <w:left w:type="dxa" w:w="100"/>
              <w:bottom w:type="dxa" w:w="60"/>
              <w:right w:type="dxa" w:w="100"/>
            </w:tcMar>
          </w:tcPr>
          <w:p>
            <w:pPr>
              <w:spacing w:after="0"/>
              <w:jc w:val="left"/>
            </w:pPr>
            <w:r>
              <w:rPr>
                <w:b/>
                <w:bCs/>
              </w:rPr>
              <w:t xml:space="preserve">Design rationale</w:t>
            </w:r>
          </w:p>
        </w:tc>
      </w:tr>
      <w:tr>
        <w:tc>
          <w:tcPr>
            <w:tcW w:type="dxa" w:w="2600"/>
            <w:tcMar>
              <w:top w:type="dxa" w:w="60"/>
              <w:left w:type="dxa" w:w="100"/>
              <w:bottom w:type="dxa" w:w="60"/>
              <w:right w:type="dxa" w:w="100"/>
            </w:tcMar>
          </w:tcPr>
          <w:p>
            <w:pPr>
              <w:spacing w:after="0"/>
              <w:jc w:val="left"/>
            </w:pPr>
            <w:r>
              <w:rPr>
                <w:b w:val="false"/>
                <w:bCs w:val="false"/>
              </w:rPr>
              <w:t xml:space="preserve">Helper’s point / gaze toward a target</w:t>
            </w:r>
          </w:p>
        </w:tc>
        <w:tc>
          <w:tcPr>
            <w:tcW w:type="dxa" w:w="2800"/>
            <w:tcMar>
              <w:top w:type="dxa" w:w="60"/>
              <w:left w:type="dxa" w:w="100"/>
              <w:bottom w:type="dxa" w:w="60"/>
              <w:right w:type="dxa" w:w="100"/>
            </w:tcMar>
          </w:tcPr>
          <w:p>
            <w:pPr>
              <w:spacing w:after="0"/>
              <w:jc w:val="left"/>
            </w:pPr>
            <w:r>
              <w:rPr>
                <w:b w:val="false"/>
                <w:bCs w:val="false"/>
              </w:rPr>
              <w:t xml:space="preserve">The RJA cue</w:t>
            </w:r>
          </w:p>
        </w:tc>
        <w:tc>
          <w:tcPr>
            <w:tcW w:type="dxa" w:w="3626"/>
            <w:tcMar>
              <w:top w:type="dxa" w:w="60"/>
              <w:left w:type="dxa" w:w="100"/>
              <w:bottom w:type="dxa" w:w="60"/>
              <w:right w:type="dxa" w:w="100"/>
            </w:tcMar>
          </w:tcPr>
          <w:p>
            <w:pPr>
              <w:spacing w:after="0"/>
              <w:jc w:val="left"/>
            </w:pPr>
            <w:r>
              <w:rPr>
                <w:b w:val="false"/>
                <w:bCs w:val="false"/>
              </w:rPr>
              <w:t xml:space="preserve">Direct analog of ESCS RJA probes</w:t>
            </w:r>
          </w:p>
        </w:tc>
      </w:tr>
      <w:tr>
        <w:tc>
          <w:tcPr>
            <w:tcW w:type="dxa" w:w="2600"/>
            <w:tcMar>
              <w:top w:type="dxa" w:w="60"/>
              <w:left w:type="dxa" w:w="100"/>
              <w:bottom w:type="dxa" w:w="60"/>
              <w:right w:type="dxa" w:w="100"/>
            </w:tcMar>
          </w:tcPr>
          <w:p>
            <w:pPr>
              <w:spacing w:after="0"/>
              <w:jc w:val="left"/>
            </w:pPr>
            <w:r>
              <w:rPr>
                <w:b w:val="false"/>
                <w:bCs w:val="false"/>
              </w:rPr>
              <w:t xml:space="preserve">Cue fading with success</w:t>
            </w:r>
          </w:p>
        </w:tc>
        <w:tc>
          <w:tcPr>
            <w:tcW w:type="dxa" w:w="2800"/>
            <w:tcMar>
              <w:top w:type="dxa" w:w="60"/>
              <w:left w:type="dxa" w:w="100"/>
              <w:bottom w:type="dxa" w:w="60"/>
              <w:right w:type="dxa" w:w="100"/>
            </w:tcMar>
          </w:tcPr>
          <w:p>
            <w:pPr>
              <w:spacing w:after="0"/>
              <w:jc w:val="left"/>
            </w:pPr>
            <w:r>
              <w:rPr>
                <w:b w:val="false"/>
                <w:bCs w:val="false"/>
              </w:rPr>
              <w:t xml:space="preserve">Transfer from salient to natural cues</w:t>
            </w:r>
          </w:p>
        </w:tc>
        <w:tc>
          <w:tcPr>
            <w:tcW w:type="dxa" w:w="3626"/>
            <w:tcMar>
              <w:top w:type="dxa" w:w="60"/>
              <w:left w:type="dxa" w:w="100"/>
              <w:bottom w:type="dxa" w:w="60"/>
              <w:right w:type="dxa" w:w="100"/>
            </w:tcMar>
          </w:tcPr>
          <w:p>
            <w:pPr>
              <w:spacing w:after="0"/>
              <w:jc w:val="left"/>
            </w:pPr>
            <w:r>
              <w:rPr>
                <w:b w:val="false"/>
                <w:bCs w:val="false"/>
              </w:rPr>
              <w:t xml:space="preserve">The mechanism by which JA interventions reach real-world cues</w:t>
            </w:r>
          </w:p>
        </w:tc>
      </w:tr>
      <w:tr>
        <w:tc>
          <w:tcPr>
            <w:tcW w:type="dxa" w:w="2600"/>
            <w:tcMar>
              <w:top w:type="dxa" w:w="60"/>
              <w:left w:type="dxa" w:w="100"/>
              <w:bottom w:type="dxa" w:w="60"/>
              <w:right w:type="dxa" w:w="100"/>
            </w:tcMar>
          </w:tcPr>
          <w:p>
            <w:pPr>
              <w:spacing w:after="0"/>
              <w:jc w:val="left"/>
            </w:pPr>
            <w:r>
              <w:rPr>
                <w:b w:val="false"/>
                <w:bCs w:val="false"/>
              </w:rPr>
              <w:t xml:space="preserve">Gaze-only interleaved trials</w:t>
            </w:r>
          </w:p>
        </w:tc>
        <w:tc>
          <w:tcPr>
            <w:tcW w:type="dxa" w:w="2800"/>
            <w:tcMar>
              <w:top w:type="dxa" w:w="60"/>
              <w:left w:type="dxa" w:w="100"/>
              <w:bottom w:type="dxa" w:w="60"/>
              <w:right w:type="dxa" w:w="100"/>
            </w:tcMar>
          </w:tcPr>
          <w:p>
            <w:pPr>
              <w:spacing w:after="0"/>
              <w:jc w:val="left"/>
            </w:pPr>
            <w:r>
              <w:rPr>
                <w:b w:val="false"/>
                <w:bCs w:val="false"/>
              </w:rPr>
              <w:t xml:space="preserve">Gaze following without gesture</w:t>
            </w:r>
          </w:p>
        </w:tc>
        <w:tc>
          <w:tcPr>
            <w:tcW w:type="dxa" w:w="3626"/>
            <w:tcMar>
              <w:top w:type="dxa" w:w="60"/>
              <w:left w:type="dxa" w:w="100"/>
              <w:bottom w:type="dxa" w:w="60"/>
              <w:right w:type="dxa" w:w="100"/>
            </w:tcMar>
          </w:tcPr>
          <w:p>
            <w:pPr>
              <w:spacing w:after="0"/>
              <w:jc w:val="left"/>
            </w:pPr>
            <w:r>
              <w:rPr>
                <w:b w:val="false"/>
                <w:bCs w:val="false"/>
              </w:rPr>
              <w:t xml:space="preserve">The harder, more natural RJA channel; sampled separately</w:t>
            </w:r>
          </w:p>
        </w:tc>
      </w:tr>
      <w:tr>
        <w:tc>
          <w:tcPr>
            <w:tcW w:type="dxa" w:w="2600"/>
            <w:tcMar>
              <w:top w:type="dxa" w:w="60"/>
              <w:left w:type="dxa" w:w="100"/>
              <w:bottom w:type="dxa" w:w="60"/>
              <w:right w:type="dxa" w:w="100"/>
            </w:tcMar>
          </w:tcPr>
          <w:p>
            <w:pPr>
              <w:spacing w:after="0"/>
              <w:jc w:val="left"/>
            </w:pPr>
            <w:r>
              <w:rPr>
                <w:b w:val="false"/>
                <w:bCs w:val="false"/>
              </w:rPr>
              <w:t xml:space="preserve">Multiple competing exhibits</w:t>
            </w:r>
          </w:p>
        </w:tc>
        <w:tc>
          <w:tcPr>
            <w:tcW w:type="dxa" w:w="2800"/>
            <w:tcMar>
              <w:top w:type="dxa" w:w="60"/>
              <w:left w:type="dxa" w:w="100"/>
              <w:bottom w:type="dxa" w:w="60"/>
              <w:right w:type="dxa" w:w="100"/>
            </w:tcMar>
          </w:tcPr>
          <w:p>
            <w:pPr>
              <w:spacing w:after="0"/>
              <w:jc w:val="left"/>
            </w:pPr>
            <w:r>
              <w:rPr>
                <w:b w:val="false"/>
                <w:bCs w:val="false"/>
              </w:rPr>
              <w:t xml:space="preserve">Referent selection</w:t>
            </w:r>
          </w:p>
        </w:tc>
        <w:tc>
          <w:tcPr>
            <w:tcW w:type="dxa" w:w="3626"/>
            <w:tcMar>
              <w:top w:type="dxa" w:w="60"/>
              <w:left w:type="dxa" w:w="100"/>
              <w:bottom w:type="dxa" w:w="60"/>
              <w:right w:type="dxa" w:w="100"/>
            </w:tcMar>
          </w:tcPr>
          <w:p>
            <w:pPr>
              <w:spacing w:after="0"/>
              <w:jc w:val="left"/>
            </w:pPr>
            <w:r>
              <w:rPr>
                <w:b w:val="false"/>
                <w:bCs w:val="false"/>
              </w:rPr>
              <w:t xml:space="preserve">Following must resolve which object is meant, as in real rooms</w:t>
            </w:r>
          </w:p>
        </w:tc>
      </w:tr>
    </w:tbl>
    <w:p>
      <w:pPr>
        <w:pStyle w:val="Heading3"/>
        <w:spacing w:after="100" w:before="200"/>
      </w:pPr>
      <w:r>
        <w:t xml:space="preserve">Difficulty progression</w:t>
      </w:r>
    </w:p>
    <w:p>
      <w:pPr>
        <w:pStyle w:val="ListParagraph"/>
        <w:numPr>
          <w:ilvl w:val="0"/>
          <w:numId w:val="2"/>
        </w:numPr>
        <w:spacing w:after="80"/>
      </w:pPr>
      <w:r>
        <w:t xml:space="preserve">Glowing point → plain point → far point (target further from the hand).</w:t>
      </w:r>
    </w:p>
    <w:p>
      <w:pPr>
        <w:pStyle w:val="ListParagraph"/>
        <w:numPr>
          <w:ilvl w:val="0"/>
          <w:numId w:val="2"/>
        </w:numPr>
        <w:spacing w:after="80"/>
      </w:pPr>
      <w:r>
        <w:t xml:space="preserve">Gaze-only trials increase in proportion at higher tiers.</w:t>
      </w:r>
    </w:p>
    <w:p>
      <w:pPr>
        <w:pStyle w:val="Heading3"/>
        <w:spacing w:after="100" w:before="200"/>
      </w:pPr>
      <w:r>
        <w:t xml:space="preserve">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E8EEF7" w:val="clear"/>
            <w:tcMar>
              <w:top w:type="dxa" w:w="60"/>
              <w:left w:type="dxa" w:w="100"/>
              <w:bottom w:type="dxa" w:w="60"/>
              <w:right w:type="dxa" w:w="100"/>
            </w:tcMar>
          </w:tcPr>
          <w:p>
            <w:pPr>
              <w:spacing w:after="0"/>
              <w:jc w:val="left"/>
            </w:pPr>
            <w:r>
              <w:rPr>
                <w:b/>
                <w:bCs/>
              </w:rPr>
              <w:t xml:space="preserve">Metric</w:t>
            </w:r>
          </w:p>
        </w:tc>
        <w:tc>
          <w:tcPr>
            <w:tcW w:type="dxa" w:w="3300"/>
            <w:shd w:fill="E8EEF7" w:val="clear"/>
            <w:tcMar>
              <w:top w:type="dxa" w:w="60"/>
              <w:left w:type="dxa" w:w="100"/>
              <w:bottom w:type="dxa" w:w="60"/>
              <w:right w:type="dxa" w:w="100"/>
            </w:tcMar>
          </w:tcPr>
          <w:p>
            <w:pPr>
              <w:spacing w:after="0"/>
              <w:jc w:val="left"/>
            </w:pPr>
            <w:r>
              <w:rPr>
                <w:b/>
                <w:bCs/>
              </w:rPr>
              <w:t xml:space="preserve">Operational definition</w:t>
            </w:r>
          </w:p>
        </w:tc>
        <w:tc>
          <w:tcPr>
            <w:tcW w:type="dxa" w:w="3526"/>
            <w:shd w:fill="E8EEF7" w:val="clear"/>
            <w:tcMar>
              <w:top w:type="dxa" w:w="60"/>
              <w:left w:type="dxa" w:w="100"/>
              <w:bottom w:type="dxa" w:w="60"/>
              <w:right w:type="dxa" w:w="100"/>
            </w:tcMar>
          </w:tcPr>
          <w:p>
            <w:pPr>
              <w:spacing w:after="0"/>
              <w:jc w:val="left"/>
            </w:pPr>
            <w:r>
              <w:rPr>
                <w:b/>
                <w:bCs/>
              </w:rPr>
              <w:t xml:space="preserve">Why it matters</w:t>
            </w:r>
          </w:p>
        </w:tc>
      </w:tr>
      <w:tr>
        <w:tc>
          <w:tcPr>
            <w:tcW w:type="dxa" w:w="2200"/>
            <w:tcMar>
              <w:top w:type="dxa" w:w="60"/>
              <w:left w:type="dxa" w:w="100"/>
              <w:bottom w:type="dxa" w:w="60"/>
              <w:right w:type="dxa" w:w="100"/>
            </w:tcMar>
          </w:tcPr>
          <w:p>
            <w:pPr>
              <w:spacing w:after="0"/>
              <w:jc w:val="left"/>
            </w:pPr>
            <w:r>
              <w:rPr>
                <w:b w:val="false"/>
                <w:bCs w:val="false"/>
              </w:rPr>
              <w:t xml:space="preserve">Cue-following accuracy</w:t>
            </w:r>
          </w:p>
        </w:tc>
        <w:tc>
          <w:tcPr>
            <w:tcW w:type="dxa" w:w="3300"/>
            <w:tcMar>
              <w:top w:type="dxa" w:w="60"/>
              <w:left w:type="dxa" w:w="100"/>
              <w:bottom w:type="dxa" w:w="60"/>
              <w:right w:type="dxa" w:w="100"/>
            </w:tcMar>
          </w:tcPr>
          <w:p>
            <w:pPr>
              <w:spacing w:after="0"/>
              <w:jc w:val="left"/>
            </w:pPr>
            <w:r>
              <w:rPr>
                <w:b w:val="false"/>
                <w:bCs w:val="false"/>
              </w:rPr>
              <w:t xml:space="preserve">% correct target selections, per cue type</w:t>
            </w:r>
          </w:p>
        </w:tc>
        <w:tc>
          <w:tcPr>
            <w:tcW w:type="dxa" w:w="3526"/>
            <w:tcMar>
              <w:top w:type="dxa" w:w="60"/>
              <w:left w:type="dxa" w:w="100"/>
              <w:bottom w:type="dxa" w:w="60"/>
              <w:right w:type="dxa" w:w="100"/>
            </w:tcMar>
          </w:tcPr>
          <w:p>
            <w:pPr>
              <w:spacing w:after="0"/>
              <w:jc w:val="left"/>
            </w:pPr>
            <w:r>
              <w:rPr>
                <w:b w:val="false"/>
                <w:bCs w:val="false"/>
              </w:rPr>
              <w:t xml:space="preserve">Primary RJA index; gaze-only slice reported separately</w:t>
            </w:r>
          </w:p>
        </w:tc>
      </w:tr>
      <w:tr>
        <w:tc>
          <w:tcPr>
            <w:tcW w:type="dxa" w:w="2200"/>
            <w:tcMar>
              <w:top w:type="dxa" w:w="60"/>
              <w:left w:type="dxa" w:w="100"/>
              <w:bottom w:type="dxa" w:w="60"/>
              <w:right w:type="dxa" w:w="100"/>
            </w:tcMar>
          </w:tcPr>
          <w:p>
            <w:pPr>
              <w:spacing w:after="0"/>
              <w:jc w:val="left"/>
            </w:pPr>
            <w:r>
              <w:rPr>
                <w:b w:val="false"/>
                <w:bCs w:val="false"/>
              </w:rPr>
              <w:t xml:space="preserve">Latency to orient</w:t>
            </w:r>
          </w:p>
        </w:tc>
        <w:tc>
          <w:tcPr>
            <w:tcW w:type="dxa" w:w="3300"/>
            <w:tcMar>
              <w:top w:type="dxa" w:w="60"/>
              <w:left w:type="dxa" w:w="100"/>
              <w:bottom w:type="dxa" w:w="60"/>
              <w:right w:type="dxa" w:w="100"/>
            </w:tcMar>
          </w:tcPr>
          <w:p>
            <w:pPr>
              <w:spacing w:after="0"/>
              <w:jc w:val="left"/>
            </w:pPr>
            <w:r>
              <w:rPr>
                <w:b w:val="false"/>
                <w:bCs w:val="false"/>
              </w:rPr>
              <w:t xml:space="preserve">ms from cue onset to selection</w:t>
            </w:r>
          </w:p>
        </w:tc>
        <w:tc>
          <w:tcPr>
            <w:tcW w:type="dxa" w:w="3526"/>
            <w:tcMar>
              <w:top w:type="dxa" w:w="60"/>
              <w:left w:type="dxa" w:w="100"/>
              <w:bottom w:type="dxa" w:w="60"/>
              <w:right w:type="dxa" w:w="100"/>
            </w:tcMar>
          </w:tcPr>
          <w:p>
            <w:pPr>
              <w:spacing w:after="0"/>
              <w:jc w:val="left"/>
            </w:pPr>
            <w:r>
              <w:rPr>
                <w:b w:val="false"/>
                <w:bCs w:val="false"/>
              </w:rPr>
              <w:t xml:space="preserve">Speed of attention shift</w:t>
            </w:r>
          </w:p>
        </w:tc>
      </w:tr>
      <w:tr>
        <w:tc>
          <w:tcPr>
            <w:tcW w:type="dxa" w:w="2200"/>
            <w:tcMar>
              <w:top w:type="dxa" w:w="60"/>
              <w:left w:type="dxa" w:w="100"/>
              <w:bottom w:type="dxa" w:w="60"/>
              <w:right w:type="dxa" w:w="100"/>
            </w:tcMar>
          </w:tcPr>
          <w:p>
            <w:pPr>
              <w:spacing w:after="0"/>
              <w:jc w:val="left"/>
            </w:pPr>
            <w:r>
              <w:rPr>
                <w:b w:val="false"/>
                <w:bCs w:val="false"/>
              </w:rPr>
              <w:t xml:space="preserve">Prompt dependency</w:t>
            </w:r>
          </w:p>
        </w:tc>
        <w:tc>
          <w:tcPr>
            <w:tcW w:type="dxa" w:w="3300"/>
            <w:tcMar>
              <w:top w:type="dxa" w:w="60"/>
              <w:left w:type="dxa" w:w="100"/>
              <w:bottom w:type="dxa" w:w="60"/>
              <w:right w:type="dxa" w:w="100"/>
            </w:tcMar>
          </w:tcPr>
          <w:p>
            <w:pPr>
              <w:spacing w:after="0"/>
              <w:jc w:val="left"/>
            </w:pPr>
            <w:r>
              <w:rPr>
                <w:b w:val="false"/>
                <w:bCs w:val="false"/>
              </w:rPr>
              <w:t xml:space="preserve">% trials needing the fallback hint</w:t>
            </w:r>
          </w:p>
        </w:tc>
        <w:tc>
          <w:tcPr>
            <w:tcW w:type="dxa" w:w="3526"/>
            <w:tcMar>
              <w:top w:type="dxa" w:w="60"/>
              <w:left w:type="dxa" w:w="100"/>
              <w:bottom w:type="dxa" w:w="60"/>
              <w:right w:type="dxa" w:w="100"/>
            </w:tcMar>
          </w:tcPr>
          <w:p>
            <w:pPr>
              <w:spacing w:after="0"/>
              <w:jc w:val="left"/>
            </w:pPr>
            <w:r>
              <w:rPr>
                <w:b w:val="false"/>
                <w:bCs w:val="false"/>
              </w:rPr>
              <w:t xml:space="preserve">Tracks transfer away from artificial support</w:t>
            </w:r>
          </w:p>
        </w:tc>
      </w:tr>
    </w:tbl>
    <w:p>
      <w:pPr>
        <w:pStyle w:val="Heading3"/>
        <w:spacing w:after="100" w:before="200"/>
      </w:pPr>
      <w:r>
        <w:t xml:space="preserve">VR build notes</w:t>
      </w:r>
    </w:p>
    <w:p>
      <w:pPr>
        <w:spacing w:after="120"/>
      </w:pPr>
      <w:r>
        <w:t xml:space="preserve">Museum 360 lines the exhibits up in front of the child with the helper avatar facing them; the child physically turns their head along the row to follow the same fading point and gaze cues — a response topography much closer to real-world “look where I point” than a mouse movement. Head-yaw is recorded per trial.</w:t>
      </w:r>
    </w:p>
    <w:p>
      <w:pPr>
        <w:pStyle w:val="Heading2"/>
        <w:spacing w:after="120" w:before="240"/>
      </w:pPr>
      <w:r>
        <w:t xml:space="preserve">6.2 Look What I Found!  (VR build: Park 360)</w:t>
      </w:r>
    </w:p>
    <w:p>
      <w:pPr>
        <w:spacing w:after="120"/>
      </w:pPr>
      <w:r>
        <w:rPr>
          <w:b/>
          <w:bCs/>
        </w:rPr>
        <w:t xml:space="preserve">Target construct. </w:t>
      </w:r>
      <w:r>
        <w:t xml:space="preserve">Initiating joint attention (IJA) — spontaneous showing/sharing of interest.</w:t>
      </w:r>
    </w:p>
    <w:p>
      <w:pPr>
        <w:spacing w:after="120"/>
      </w:pPr>
      <w:r>
        <w:t xml:space="preserve">A surprise appears in the scene while nothing prompts the child. The target behaviour is spontaneously showing it to the on-screen friend — the sharing-for-its-own-sake act that defines IJA and distinguishes it from requesting.</w:t>
      </w:r>
    </w:p>
    <w:p>
      <w:pPr>
        <w:spacing w:after="120"/>
      </w:pPr>
      <w:r>
        <w:rPr>
          <w:b/>
          <w:bCs/>
        </w:rPr>
        <w:t xml:space="preserve">Evidence base. </w:t>
      </w:r>
      <w:r>
        <w:t xml:space="preserve">IJA is the component with the strongest links to later language and social outcomes and the one least likely to emerge without targeted teaching (Mundy et al., 1990; Kasari et al., 2008). Because IJA must be spontaneous to count, the game’s scoring privileges unprompted shares and its hint system fades to nothing — mirroring how ESCS credits only child-initiated bids (Mundy et al., 2003).</w:t>
      </w:r>
    </w:p>
    <w:p>
      <w:pPr>
        <w:spacing w:after="120"/>
      </w:pPr>
      <w:r>
        <w:rPr>
          <w:b/>
          <w:bCs/>
        </w:rPr>
        <w:t xml:space="preserve">Game mechanic. </w:t>
      </w:r>
      <w:r>
        <w:t xml:space="preserve">During free exploration a surprise event occurs. Sharing = tapping the surprise and tapping the friend (either order). Spontaneous shares score more than hinted ones; at higher tiers surprises become subtler and hints disappear entirely.</w:t>
      </w:r>
    </w:p>
    <w:p>
      <w:pPr>
        <w:pStyle w:val="Heading3"/>
        <w:spacing w:after="100" w:before="200"/>
      </w:pPr>
      <w:r>
        <w:t xml:space="preserve">Construct-to-mechanic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shd w:fill="E8EEF7" w:val="clear"/>
            <w:tcMar>
              <w:top w:type="dxa" w:w="60"/>
              <w:left w:type="dxa" w:w="100"/>
              <w:bottom w:type="dxa" w:w="60"/>
              <w:right w:type="dxa" w:w="100"/>
            </w:tcMar>
          </w:tcPr>
          <w:p>
            <w:pPr>
              <w:spacing w:after="0"/>
              <w:jc w:val="left"/>
            </w:pPr>
            <w:r>
              <w:rPr>
                <w:b/>
                <w:bCs/>
              </w:rPr>
              <w:t xml:space="preserve">Game element</w:t>
            </w:r>
          </w:p>
        </w:tc>
        <w:tc>
          <w:tcPr>
            <w:tcW w:type="dxa" w:w="2800"/>
            <w:shd w:fill="E8EEF7" w:val="clear"/>
            <w:tcMar>
              <w:top w:type="dxa" w:w="60"/>
              <w:left w:type="dxa" w:w="100"/>
              <w:bottom w:type="dxa" w:w="60"/>
              <w:right w:type="dxa" w:w="100"/>
            </w:tcMar>
          </w:tcPr>
          <w:p>
            <w:pPr>
              <w:spacing w:after="0"/>
              <w:jc w:val="left"/>
            </w:pPr>
            <w:r>
              <w:rPr>
                <w:b/>
                <w:bCs/>
              </w:rPr>
              <w:t xml:space="preserve">Construct feature</w:t>
            </w:r>
          </w:p>
        </w:tc>
        <w:tc>
          <w:tcPr>
            <w:tcW w:type="dxa" w:w="3626"/>
            <w:shd w:fill="E8EEF7" w:val="clear"/>
            <w:tcMar>
              <w:top w:type="dxa" w:w="60"/>
              <w:left w:type="dxa" w:w="100"/>
              <w:bottom w:type="dxa" w:w="60"/>
              <w:right w:type="dxa" w:w="100"/>
            </w:tcMar>
          </w:tcPr>
          <w:p>
            <w:pPr>
              <w:spacing w:after="0"/>
              <w:jc w:val="left"/>
            </w:pPr>
            <w:r>
              <w:rPr>
                <w:b/>
                <w:bCs/>
              </w:rPr>
              <w:t xml:space="preserve">Design rationale</w:t>
            </w:r>
          </w:p>
        </w:tc>
      </w:tr>
      <w:tr>
        <w:tc>
          <w:tcPr>
            <w:tcW w:type="dxa" w:w="2600"/>
            <w:tcMar>
              <w:top w:type="dxa" w:w="60"/>
              <w:left w:type="dxa" w:w="100"/>
              <w:bottom w:type="dxa" w:w="60"/>
              <w:right w:type="dxa" w:w="100"/>
            </w:tcMar>
          </w:tcPr>
          <w:p>
            <w:pPr>
              <w:spacing w:after="0"/>
              <w:jc w:val="left"/>
            </w:pPr>
            <w:r>
              <w:rPr>
                <w:b w:val="false"/>
                <w:bCs w:val="false"/>
              </w:rPr>
              <w:t xml:space="preserve">Unannounced surprise events</w:t>
            </w:r>
          </w:p>
        </w:tc>
        <w:tc>
          <w:tcPr>
            <w:tcW w:type="dxa" w:w="2800"/>
            <w:tcMar>
              <w:top w:type="dxa" w:w="60"/>
              <w:left w:type="dxa" w:w="100"/>
              <w:bottom w:type="dxa" w:w="60"/>
              <w:right w:type="dxa" w:w="100"/>
            </w:tcMar>
          </w:tcPr>
          <w:p>
            <w:pPr>
              <w:spacing w:after="0"/>
              <w:jc w:val="left"/>
            </w:pPr>
            <w:r>
              <w:rPr>
                <w:b w:val="false"/>
                <w:bCs w:val="false"/>
              </w:rPr>
              <w:t xml:space="preserve">The IJA-eliciting moment</w:t>
            </w:r>
          </w:p>
        </w:tc>
        <w:tc>
          <w:tcPr>
            <w:tcW w:type="dxa" w:w="3626"/>
            <w:tcMar>
              <w:top w:type="dxa" w:w="60"/>
              <w:left w:type="dxa" w:w="100"/>
              <w:bottom w:type="dxa" w:w="60"/>
              <w:right w:type="dxa" w:w="100"/>
            </w:tcMar>
          </w:tcPr>
          <w:p>
            <w:pPr>
              <w:spacing w:after="0"/>
              <w:jc w:val="left"/>
            </w:pPr>
            <w:r>
              <w:rPr>
                <w:b w:val="false"/>
                <w:bCs w:val="false"/>
              </w:rPr>
              <w:t xml:space="preserve">Mirrors ESCS IJA probes (novel interesting event, no instruction)</w:t>
            </w:r>
          </w:p>
        </w:tc>
      </w:tr>
      <w:tr>
        <w:tc>
          <w:tcPr>
            <w:tcW w:type="dxa" w:w="2600"/>
            <w:tcMar>
              <w:top w:type="dxa" w:w="60"/>
              <w:left w:type="dxa" w:w="100"/>
              <w:bottom w:type="dxa" w:w="60"/>
              <w:right w:type="dxa" w:w="100"/>
            </w:tcMar>
          </w:tcPr>
          <w:p>
            <w:pPr>
              <w:spacing w:after="0"/>
              <w:jc w:val="left"/>
            </w:pPr>
            <w:r>
              <w:rPr>
                <w:b w:val="false"/>
                <w:bCs w:val="false"/>
              </w:rPr>
              <w:t xml:space="preserve">Two-tap share (object + friend)</w:t>
            </w:r>
          </w:p>
        </w:tc>
        <w:tc>
          <w:tcPr>
            <w:tcW w:type="dxa" w:w="2800"/>
            <w:tcMar>
              <w:top w:type="dxa" w:w="60"/>
              <w:left w:type="dxa" w:w="100"/>
              <w:bottom w:type="dxa" w:w="60"/>
              <w:right w:type="dxa" w:w="100"/>
            </w:tcMar>
          </w:tcPr>
          <w:p>
            <w:pPr>
              <w:spacing w:after="0"/>
              <w:jc w:val="left"/>
            </w:pPr>
            <w:r>
              <w:rPr>
                <w:b w:val="false"/>
                <w:bCs w:val="false"/>
              </w:rPr>
              <w:t xml:space="preserve">Coordinating attention between object and partner</w:t>
            </w:r>
          </w:p>
        </w:tc>
        <w:tc>
          <w:tcPr>
            <w:tcW w:type="dxa" w:w="3626"/>
            <w:tcMar>
              <w:top w:type="dxa" w:w="60"/>
              <w:left w:type="dxa" w:w="100"/>
              <w:bottom w:type="dxa" w:w="60"/>
              <w:right w:type="dxa" w:w="100"/>
            </w:tcMar>
          </w:tcPr>
          <w:p>
            <w:pPr>
              <w:spacing w:after="0"/>
              <w:jc w:val="left"/>
            </w:pPr>
            <w:r>
              <w:rPr>
                <w:b w:val="false"/>
                <w:bCs w:val="false"/>
              </w:rPr>
              <w:t xml:space="preserve">The defining triadic structure of IJA, in minimal motor form</w:t>
            </w:r>
          </w:p>
        </w:tc>
      </w:tr>
      <w:tr>
        <w:tc>
          <w:tcPr>
            <w:tcW w:type="dxa" w:w="2600"/>
            <w:tcMar>
              <w:top w:type="dxa" w:w="60"/>
              <w:left w:type="dxa" w:w="100"/>
              <w:bottom w:type="dxa" w:w="60"/>
              <w:right w:type="dxa" w:w="100"/>
            </w:tcMar>
          </w:tcPr>
          <w:p>
            <w:pPr>
              <w:spacing w:after="0"/>
              <w:jc w:val="left"/>
            </w:pPr>
            <w:r>
              <w:rPr>
                <w:b w:val="false"/>
                <w:bCs w:val="false"/>
              </w:rPr>
              <w:t xml:space="preserve">Spontaneity-weighted scoring</w:t>
            </w:r>
          </w:p>
        </w:tc>
        <w:tc>
          <w:tcPr>
            <w:tcW w:type="dxa" w:w="2800"/>
            <w:tcMar>
              <w:top w:type="dxa" w:w="60"/>
              <w:left w:type="dxa" w:w="100"/>
              <w:bottom w:type="dxa" w:w="60"/>
              <w:right w:type="dxa" w:w="100"/>
            </w:tcMar>
          </w:tcPr>
          <w:p>
            <w:pPr>
              <w:spacing w:after="0"/>
              <w:jc w:val="left"/>
            </w:pPr>
            <w:r>
              <w:rPr>
                <w:b w:val="false"/>
                <w:bCs w:val="false"/>
              </w:rPr>
              <w:t xml:space="preserve">Initiation, not compliance</w:t>
            </w:r>
          </w:p>
        </w:tc>
        <w:tc>
          <w:tcPr>
            <w:tcW w:type="dxa" w:w="3626"/>
            <w:tcMar>
              <w:top w:type="dxa" w:w="60"/>
              <w:left w:type="dxa" w:w="100"/>
              <w:bottom w:type="dxa" w:w="60"/>
              <w:right w:type="dxa" w:w="100"/>
            </w:tcMar>
          </w:tcPr>
          <w:p>
            <w:pPr>
              <w:spacing w:after="0"/>
              <w:jc w:val="left"/>
            </w:pPr>
            <w:r>
              <w:rPr>
                <w:b w:val="false"/>
                <w:bCs w:val="false"/>
              </w:rPr>
              <w:t xml:space="preserve">Only self-initiated bids are full-credit IJA, per the assessment literature</w:t>
            </w:r>
          </w:p>
        </w:tc>
      </w:tr>
      <w:tr>
        <w:tc>
          <w:tcPr>
            <w:tcW w:type="dxa" w:w="2600"/>
            <w:tcMar>
              <w:top w:type="dxa" w:w="60"/>
              <w:left w:type="dxa" w:w="100"/>
              <w:bottom w:type="dxa" w:w="60"/>
              <w:right w:type="dxa" w:w="100"/>
            </w:tcMar>
          </w:tcPr>
          <w:p>
            <w:pPr>
              <w:spacing w:after="0"/>
              <w:jc w:val="left"/>
            </w:pPr>
            <w:r>
              <w:rPr>
                <w:b w:val="false"/>
                <w:bCs w:val="false"/>
              </w:rPr>
              <w:t xml:space="preserve">Hints that fade to nothing</w:t>
            </w:r>
          </w:p>
        </w:tc>
        <w:tc>
          <w:tcPr>
            <w:tcW w:type="dxa" w:w="2800"/>
            <w:tcMar>
              <w:top w:type="dxa" w:w="60"/>
              <w:left w:type="dxa" w:w="100"/>
              <w:bottom w:type="dxa" w:w="60"/>
              <w:right w:type="dxa" w:w="100"/>
            </w:tcMar>
          </w:tcPr>
          <w:p>
            <w:pPr>
              <w:spacing w:after="0"/>
              <w:jc w:val="left"/>
            </w:pPr>
            <w:r>
              <w:rPr>
                <w:b w:val="false"/>
                <w:bCs w:val="false"/>
              </w:rPr>
              <w:t xml:space="preserve">Prompt independence</w:t>
            </w:r>
          </w:p>
        </w:tc>
        <w:tc>
          <w:tcPr>
            <w:tcW w:type="dxa" w:w="3626"/>
            <w:tcMar>
              <w:top w:type="dxa" w:w="60"/>
              <w:left w:type="dxa" w:w="100"/>
              <w:bottom w:type="dxa" w:w="60"/>
              <w:right w:type="dxa" w:w="100"/>
            </w:tcMar>
          </w:tcPr>
          <w:p>
            <w:pPr>
              <w:spacing w:after="0"/>
              <w:jc w:val="left"/>
            </w:pPr>
            <w:r>
              <w:rPr>
                <w:b w:val="false"/>
                <w:bCs w:val="false"/>
              </w:rPr>
              <w:t xml:space="preserve">The end state is unprompted initiation</w:t>
            </w:r>
          </w:p>
        </w:tc>
      </w:tr>
    </w:tbl>
    <w:p>
      <w:pPr>
        <w:pStyle w:val="Heading3"/>
        <w:spacing w:after="100" w:before="200"/>
      </w:pPr>
      <w:r>
        <w:t xml:space="preserve">Difficulty progression</w:t>
      </w:r>
    </w:p>
    <w:p>
      <w:pPr>
        <w:pStyle w:val="ListParagraph"/>
        <w:numPr>
          <w:ilvl w:val="0"/>
          <w:numId w:val="2"/>
        </w:numPr>
        <w:spacing w:after="80"/>
      </w:pPr>
      <w:r>
        <w:t xml:space="preserve">Salient surprises with hints → subtler surprises → no hints at all.</w:t>
      </w:r>
    </w:p>
    <w:p>
      <w:pPr>
        <w:pStyle w:val="Heading3"/>
        <w:spacing w:after="100" w:before="200"/>
      </w:pPr>
      <w:r>
        <w:t xml:space="preserve">Performance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shd w:fill="E8EEF7" w:val="clear"/>
            <w:tcMar>
              <w:top w:type="dxa" w:w="60"/>
              <w:left w:type="dxa" w:w="100"/>
              <w:bottom w:type="dxa" w:w="60"/>
              <w:right w:type="dxa" w:w="100"/>
            </w:tcMar>
          </w:tcPr>
          <w:p>
            <w:pPr>
              <w:spacing w:after="0"/>
              <w:jc w:val="left"/>
            </w:pPr>
            <w:r>
              <w:rPr>
                <w:b/>
                <w:bCs/>
              </w:rPr>
              <w:t xml:space="preserve">Metric</w:t>
            </w:r>
          </w:p>
        </w:tc>
        <w:tc>
          <w:tcPr>
            <w:tcW w:type="dxa" w:w="3300"/>
            <w:shd w:fill="E8EEF7" w:val="clear"/>
            <w:tcMar>
              <w:top w:type="dxa" w:w="60"/>
              <w:left w:type="dxa" w:w="100"/>
              <w:bottom w:type="dxa" w:w="60"/>
              <w:right w:type="dxa" w:w="100"/>
            </w:tcMar>
          </w:tcPr>
          <w:p>
            <w:pPr>
              <w:spacing w:after="0"/>
              <w:jc w:val="left"/>
            </w:pPr>
            <w:r>
              <w:rPr>
                <w:b/>
                <w:bCs/>
              </w:rPr>
              <w:t xml:space="preserve">Operational definition</w:t>
            </w:r>
          </w:p>
        </w:tc>
        <w:tc>
          <w:tcPr>
            <w:tcW w:type="dxa" w:w="3526"/>
            <w:shd w:fill="E8EEF7" w:val="clear"/>
            <w:tcMar>
              <w:top w:type="dxa" w:w="60"/>
              <w:left w:type="dxa" w:w="100"/>
              <w:bottom w:type="dxa" w:w="60"/>
              <w:right w:type="dxa" w:w="100"/>
            </w:tcMar>
          </w:tcPr>
          <w:p>
            <w:pPr>
              <w:spacing w:after="0"/>
              <w:jc w:val="left"/>
            </w:pPr>
            <w:r>
              <w:rPr>
                <w:b/>
                <w:bCs/>
              </w:rPr>
              <w:t xml:space="preserve">Why it matters</w:t>
            </w:r>
          </w:p>
        </w:tc>
      </w:tr>
      <w:tr>
        <w:tc>
          <w:tcPr>
            <w:tcW w:type="dxa" w:w="2200"/>
            <w:tcMar>
              <w:top w:type="dxa" w:w="60"/>
              <w:left w:type="dxa" w:w="100"/>
              <w:bottom w:type="dxa" w:w="60"/>
              <w:right w:type="dxa" w:w="100"/>
            </w:tcMar>
          </w:tcPr>
          <w:p>
            <w:pPr>
              <w:spacing w:after="0"/>
              <w:jc w:val="left"/>
            </w:pPr>
            <w:r>
              <w:rPr>
                <w:b w:val="false"/>
                <w:bCs w:val="false"/>
              </w:rPr>
              <w:t xml:space="preserve">Spontaneous shares</w:t>
            </w:r>
          </w:p>
        </w:tc>
        <w:tc>
          <w:tcPr>
            <w:tcW w:type="dxa" w:w="3300"/>
            <w:tcMar>
              <w:top w:type="dxa" w:w="60"/>
              <w:left w:type="dxa" w:w="100"/>
              <w:bottom w:type="dxa" w:w="60"/>
              <w:right w:type="dxa" w:w="100"/>
            </w:tcMar>
          </w:tcPr>
          <w:p>
            <w:pPr>
              <w:spacing w:after="0"/>
              <w:jc w:val="left"/>
            </w:pPr>
            <w:r>
              <w:rPr>
                <w:b w:val="false"/>
                <w:bCs w:val="false"/>
              </w:rPr>
              <w:t xml:space="preserve">Count of unprompted two-tap shares</w:t>
            </w:r>
          </w:p>
        </w:tc>
        <w:tc>
          <w:tcPr>
            <w:tcW w:type="dxa" w:w="3526"/>
            <w:tcMar>
              <w:top w:type="dxa" w:w="60"/>
              <w:left w:type="dxa" w:w="100"/>
              <w:bottom w:type="dxa" w:w="60"/>
              <w:right w:type="dxa" w:w="100"/>
            </w:tcMar>
          </w:tcPr>
          <w:p>
            <w:pPr>
              <w:spacing w:after="0"/>
              <w:jc w:val="left"/>
            </w:pPr>
            <w:r>
              <w:rPr>
                <w:b w:val="false"/>
                <w:bCs w:val="false"/>
              </w:rPr>
              <w:t xml:space="preserve">Primary IJA index</w:t>
            </w:r>
          </w:p>
        </w:tc>
      </w:tr>
      <w:tr>
        <w:tc>
          <w:tcPr>
            <w:tcW w:type="dxa" w:w="2200"/>
            <w:tcMar>
              <w:top w:type="dxa" w:w="60"/>
              <w:left w:type="dxa" w:w="100"/>
              <w:bottom w:type="dxa" w:w="60"/>
              <w:right w:type="dxa" w:w="100"/>
            </w:tcMar>
          </w:tcPr>
          <w:p>
            <w:pPr>
              <w:spacing w:after="0"/>
              <w:jc w:val="left"/>
            </w:pPr>
            <w:r>
              <w:rPr>
                <w:b w:val="false"/>
                <w:bCs w:val="false"/>
              </w:rPr>
              <w:t xml:space="preserve">First-initiation latency</w:t>
            </w:r>
          </w:p>
        </w:tc>
        <w:tc>
          <w:tcPr>
            <w:tcW w:type="dxa" w:w="3300"/>
            <w:tcMar>
              <w:top w:type="dxa" w:w="60"/>
              <w:left w:type="dxa" w:w="100"/>
              <w:bottom w:type="dxa" w:w="60"/>
              <w:right w:type="dxa" w:w="100"/>
            </w:tcMar>
          </w:tcPr>
          <w:p>
            <w:pPr>
              <w:spacing w:after="0"/>
              <w:jc w:val="left"/>
            </w:pPr>
            <w:r>
              <w:rPr>
                <w:b w:val="false"/>
                <w:bCs w:val="false"/>
              </w:rPr>
              <w:t xml:space="preserve">s from surprise onset to first share</w:t>
            </w:r>
          </w:p>
        </w:tc>
        <w:tc>
          <w:tcPr>
            <w:tcW w:type="dxa" w:w="3526"/>
            <w:tcMar>
              <w:top w:type="dxa" w:w="60"/>
              <w:left w:type="dxa" w:w="100"/>
              <w:bottom w:type="dxa" w:w="60"/>
              <w:right w:type="dxa" w:w="100"/>
            </w:tcMar>
          </w:tcPr>
          <w:p>
            <w:pPr>
              <w:spacing w:after="0"/>
              <w:jc w:val="left"/>
            </w:pPr>
            <w:r>
              <w:rPr>
                <w:b w:val="false"/>
                <w:bCs w:val="false"/>
              </w:rPr>
              <w:t xml:space="preserve">Readiness to initiate</w:t>
            </w:r>
          </w:p>
        </w:tc>
      </w:tr>
      <w:tr>
        <w:tc>
          <w:tcPr>
            <w:tcW w:type="dxa" w:w="2200"/>
            <w:tcMar>
              <w:top w:type="dxa" w:w="60"/>
              <w:left w:type="dxa" w:w="100"/>
              <w:bottom w:type="dxa" w:w="60"/>
              <w:right w:type="dxa" w:w="100"/>
            </w:tcMar>
          </w:tcPr>
          <w:p>
            <w:pPr>
              <w:spacing w:after="0"/>
              <w:jc w:val="left"/>
            </w:pPr>
            <w:r>
              <w:rPr>
                <w:b w:val="false"/>
                <w:bCs w:val="false"/>
              </w:rPr>
              <w:t xml:space="preserve">Prompted vs. spontaneous ratio</w:t>
            </w:r>
          </w:p>
        </w:tc>
        <w:tc>
          <w:tcPr>
            <w:tcW w:type="dxa" w:w="3300"/>
            <w:tcMar>
              <w:top w:type="dxa" w:w="60"/>
              <w:left w:type="dxa" w:w="100"/>
              <w:bottom w:type="dxa" w:w="60"/>
              <w:right w:type="dxa" w:w="100"/>
            </w:tcMar>
          </w:tcPr>
          <w:p>
            <w:pPr>
              <w:spacing w:after="0"/>
              <w:jc w:val="left"/>
            </w:pPr>
            <w:r>
              <w:rPr>
                <w:b w:val="false"/>
                <w:bCs w:val="false"/>
              </w:rPr>
              <w:t xml:space="preserve">Hinted shares / total shares</w:t>
            </w:r>
          </w:p>
        </w:tc>
        <w:tc>
          <w:tcPr>
            <w:tcW w:type="dxa" w:w="3526"/>
            <w:tcMar>
              <w:top w:type="dxa" w:w="60"/>
              <w:left w:type="dxa" w:w="100"/>
              <w:bottom w:type="dxa" w:w="60"/>
              <w:right w:type="dxa" w:w="100"/>
            </w:tcMar>
          </w:tcPr>
          <w:p>
            <w:pPr>
              <w:spacing w:after="0"/>
              <w:jc w:val="left"/>
            </w:pPr>
            <w:r>
              <w:rPr>
                <w:b w:val="false"/>
                <w:bCs w:val="false"/>
              </w:rPr>
              <w:t xml:space="preserve">Prompt-dependency trend across sessions</w:t>
            </w:r>
          </w:p>
        </w:tc>
      </w:tr>
    </w:tbl>
    <w:p>
      <w:pPr>
        <w:pStyle w:val="Heading3"/>
        <w:spacing w:after="100" w:before="200"/>
      </w:pPr>
      <w:r>
        <w:t xml:space="preserve">VR build notes</w:t>
      </w:r>
    </w:p>
    <w:p>
      <w:pPr>
        <w:spacing w:after="120"/>
      </w:pPr>
      <w:r>
        <w:t xml:space="preserve">Park 360 stages the same spontaneous share loop on a park lawn: the child turns their head to spot the surprise, then shares it with the friend. All playable content stays within the front half-circle so searching is a comfortable head turn, never a spin.</w:t>
      </w:r>
    </w:p>
    <w:p>
      <w:r>
        <w:br w:type="page"/>
      </w:r>
    </w:p>
    <w:p>
      <w:pPr>
        <w:pStyle w:val="Heading1"/>
        <w:spacing w:after="140" w:before="280"/>
      </w:pPr>
      <w:r>
        <w:t xml:space="preserve">7. Measurement and outcome evaluation</w:t>
      </w:r>
    </w:p>
    <w:p>
      <w:pPr>
        <w:spacing w:after="120"/>
      </w:pPr>
      <w:r>
        <w:rPr>
          <w:b/>
          <w:bCs/>
        </w:rPr>
        <w:t xml:space="preserve">In-game telemetry. </w:t>
      </w:r>
      <w:r>
        <w:t xml:space="preserve">Every trial logs accuracy, response latency, prompt use, and an error taxonomy specific to the construct (e.g., out-of-turn acts vs. wrong-partner rolls; premature vs. confusable-distractor errors). VR builds additionally log head-yaw excursion per trial. All forced-choice items record the number of options so chance level is always recoverable. Data export to CSV supports SPSS/R analysis.</w:t>
      </w:r>
    </w:p>
    <w:p>
      <w:pPr>
        <w:spacing w:after="120"/>
      </w:pPr>
      <w:r>
        <w:rPr>
          <w:b/>
          <w:bCs/>
        </w:rPr>
        <w:t xml:space="preserve">Primary outcome — near-transfer battery. </w:t>
      </w:r>
      <w:r>
        <w:t xml:space="preserve">Game scores alone cannot demonstrate learning (improvement may reflect game familiarity). The primary outcome is therefore an external pre/post battery administered off-app with novel stimuli and a different medium: the Emotion Identification Test (table-top photo/video cards), the Turn-Taking Observation Probe (live structured play, video-coded), and the Joint Attention Probe (live RJA/IJA probes, video-coded), plus a Non-Social Control Task with identical response demands that is expected NOT to improve (discriminant control). The battery uses matched parallel forms A/B counterbalanced across children, blinded administration and second-coder reliability checks (target κ ≥ .80). Each battery subtest mirrors the task logic of its games while changing every surface feature — the design that licenses a near-transfer claim rather than an item-memory effect.</w:t>
      </w:r>
    </w:p>
    <w:p>
      <w:pPr>
        <w:spacing w:after="120"/>
      </w:pPr>
      <w:r>
        <w:rPr>
          <w:b/>
          <w:bCs/>
        </w:rPr>
        <w:t xml:space="preserve">Flanking measures. </w:t>
      </w:r>
      <w:r>
        <w:t xml:space="preserve">Standardized instruments sit around the battery as secondary/distal outcomes: locally validated emotion-stimulus materials for the emotion subtest (e.g., the NIMHANS TRENDS set of Indian faces, where licensable), the Vineland Social Maturity Scale, and the Malayalam ATEC. Analysis reports group-level effects with effect sizes and child-level Reliable Change Indices.</w:t>
      </w:r>
    </w:p>
    <w:p>
      <w:pPr>
        <w:pStyle w:val="Heading1"/>
        <w:spacing w:after="140" w:before="280"/>
      </w:pPr>
      <w:r>
        <w:t xml:space="preserve">8. Cultural and accessibility design</w:t>
      </w:r>
    </w:p>
    <w:p>
      <w:pPr>
        <w:pStyle w:val="ListParagraph"/>
        <w:numPr>
          <w:ilvl w:val="0"/>
          <w:numId w:val="2"/>
        </w:numPr>
        <w:spacing w:after="80"/>
      </w:pPr>
      <w:r>
        <w:t xml:space="preserve">Malayalam-first: instructions and answer options are spoken Malayalam + printed word + pictogram, decoupling task performance from literacy and from English.</w:t>
      </w:r>
    </w:p>
    <w:p>
      <w:pPr>
        <w:pStyle w:val="ListParagraph"/>
        <w:numPr>
          <w:ilvl w:val="0"/>
          <w:numId w:val="2"/>
        </w:numPr>
        <w:spacing w:after="80"/>
      </w:pPr>
      <w:r>
        <w:t xml:space="preserve">Local contexts: social scenarios and settings reflect Kerala childhood environments, so the judged situations are ones the children actually inhabit.</w:t>
      </w:r>
    </w:p>
    <w:p>
      <w:pPr>
        <w:pStyle w:val="ListParagraph"/>
        <w:numPr>
          <w:ilvl w:val="0"/>
          <w:numId w:val="2"/>
        </w:numPr>
        <w:spacing w:after="80"/>
      </w:pPr>
      <w:r>
        <w:t xml:space="preserve">Autism-friendly presentation: calm, low-clutter scenes; predictable trial structure; one instruction at a time; no time pressure on desktop; gentle corrective feedback; no failure animations.</w:t>
      </w:r>
    </w:p>
    <w:p>
      <w:pPr>
        <w:pStyle w:val="ListParagraph"/>
        <w:numPr>
          <w:ilvl w:val="0"/>
          <w:numId w:val="2"/>
        </w:numPr>
        <w:spacing w:after="80"/>
      </w:pPr>
      <w:r>
        <w:t xml:space="preserve">VR comfort: seated or standing-still play; all content in the frontal arc (no spinning, no artificial locomotion); fixed horizon; short sessions; adult-supervised use with immediate removal on any discomfort — following the safety cautions in the HMD-VR literature (Skjoldborg et al., 2022).</w:t>
      </w:r>
    </w:p>
    <w:p>
      <w:pPr>
        <w:pStyle w:val="Heading1"/>
        <w:spacing w:after="140" w:before="280"/>
      </w:pPr>
      <w:r>
        <w:t xml:space="preserve">9. Known limitations (stated for the panel)</w:t>
      </w:r>
    </w:p>
    <w:p>
      <w:pPr>
        <w:pStyle w:val="ListParagraph"/>
        <w:numPr>
          <w:ilvl w:val="0"/>
          <w:numId w:val="2"/>
        </w:numPr>
        <w:spacing w:after="80"/>
      </w:pPr>
      <w:r>
        <w:t xml:space="preserve">Screen analog, not live dyad. The games train screen/HMD analogs of dyadic skills. Whether gains transfer is treated as an empirical question, answered by the external battery — it is not assumed. Claims are scoped to near transfer.</w:t>
      </w:r>
    </w:p>
    <w:p>
      <w:pPr>
        <w:pStyle w:val="ListParagraph"/>
        <w:numPr>
          <w:ilvl w:val="0"/>
          <w:numId w:val="2"/>
        </w:numPr>
        <w:spacing w:after="80"/>
      </w:pPr>
      <w:r>
        <w:t xml:space="preserve">RJA scope. Museum Look trains the attention-following prerequisite of RJA (following point/gaze to a referent), not the full mutual-awareness exchange of live joint attention.</w:t>
      </w:r>
    </w:p>
    <w:p>
      <w:pPr>
        <w:pStyle w:val="ListParagraph"/>
        <w:numPr>
          <w:ilvl w:val="0"/>
          <w:numId w:val="2"/>
        </w:numPr>
        <w:spacing w:after="80"/>
      </w:pPr>
      <w:r>
        <w:t xml:space="preserve">IJA context. In-game initiations occur in a game context the child knows rewards sharing; fully naturalistic IJA is measured only by the unannounced probes in the external battery.</w:t>
      </w:r>
    </w:p>
    <w:p>
      <w:pPr>
        <w:pStyle w:val="ListParagraph"/>
        <w:numPr>
          <w:ilvl w:val="0"/>
          <w:numId w:val="2"/>
        </w:numPr>
        <w:spacing w:after="80"/>
      </w:pPr>
      <w:r>
        <w:t xml:space="preserve">Latency caveat. On some trials, recorded response latency includes narration playback time; latency analyses use narration-corrected timestamps where available and are interpreted as fluency trends, not absolute reaction times.</w:t>
      </w:r>
    </w:p>
    <w:p>
      <w:pPr>
        <w:pStyle w:val="ListParagraph"/>
        <w:numPr>
          <w:ilvl w:val="0"/>
          <w:numId w:val="2"/>
        </w:numPr>
        <w:spacing w:after="80"/>
      </w:pPr>
      <w:r>
        <w:t xml:space="preserve">Maintenance risk. Meta-analytic evidence warns that emotion-recognition gains may fade after training ends (Zhang et al., 2021); the protocol therefore includes distributed practice and the battery’s parallel forms allow a retention probe.</w:t>
      </w:r>
    </w:p>
    <w:p>
      <w:pPr>
        <w:pStyle w:val="ListParagraph"/>
        <w:numPr>
          <w:ilvl w:val="0"/>
          <w:numId w:val="2"/>
        </w:numPr>
        <w:spacing w:after="80"/>
      </w:pPr>
      <w:r>
        <w:t xml:space="preserve">VR evidence maturity. HMD-VR intervention research in autism remains methodologically young (Skjoldborg et al., 2022); the VR builds are parallel variants under comfort monitoring, not the primary dose.</w:t>
      </w:r>
    </w:p>
    <w:p>
      <w:pPr>
        <w:pStyle w:val="ListParagraph"/>
        <w:numPr>
          <w:ilvl w:val="0"/>
          <w:numId w:val="2"/>
        </w:numPr>
        <w:spacing w:after="80"/>
      </w:pPr>
      <w:r>
        <w:t xml:space="preserve">Adjunct, not therapy replacement. The intervention is designed to supplement, not replace, clinician-delivered intervention.</w:t>
      </w:r>
    </w:p>
    <w:p>
      <w:r>
        <w:br w:type="page"/>
      </w:r>
    </w:p>
    <w:p>
      <w:pPr>
        <w:pStyle w:val="Heading1"/>
        <w:spacing w:after="140" w:before="280"/>
      </w:pPr>
      <w:r>
        <w:t xml:space="preserve">10. References</w:t>
      </w:r>
    </w:p>
    <w:p>
      <w:pPr>
        <w:spacing w:after="120"/>
      </w:pPr>
      <w:r>
        <w:t xml:space="preserve">American Psychiatric Association. (2013). Diagnostic and statistical manual of mental disorders (5th ed.). American Psychiatric Publishing.</w:t>
      </w:r>
    </w:p>
    <w:p>
      <w:pPr>
        <w:spacing w:after="120"/>
      </w:pPr>
      <w:r>
        <w:t xml:space="preserve">Carneiro, T., Carvalho, A., Frota, S., &amp; Filipe, M. G. (2024). Serious games for developing social skills in children and adolescents with autism spectrum disorder: A systematic review. Healthcare, 12(5), 508. https://doi.org/10.3390/healthcare12050508</w:t>
      </w:r>
    </w:p>
    <w:p>
      <w:pPr>
        <w:spacing w:after="120"/>
      </w:pPr>
      <w:r>
        <w:t xml:space="preserve">Golan, O., Ashwin, E., Granader, Y., McClintock, S., Day, K., Leggett, V., &amp; Baron-Cohen, S. (2010). Enhancing emotion recognition in children with autism spectrum conditions: An intervention using animated vehicles with real emotional faces. Journal of Autism and Developmental Disorders, 40(3), 269–279. https://doi.org/10.1007/s10803-009-0862-9</w:t>
      </w:r>
    </w:p>
    <w:p>
      <w:pPr>
        <w:spacing w:after="120"/>
      </w:pPr>
      <w:r>
        <w:t xml:space="preserve">Golan, O., &amp; Baron-Cohen, S. (2006). Systemizing empathy: Teaching adults with Asperger syndrome or high-functioning autism to recognize complex emotions using interactive multimedia. Development and Psychopathology, 18(2), 591–617.</w:t>
      </w:r>
    </w:p>
    <w:p>
      <w:pPr>
        <w:spacing w:after="120"/>
      </w:pPr>
      <w:r>
        <w:t xml:space="preserve">Kasari, C., Freeman, S., &amp; Paparella, T. (2006). Joint attention and symbolic play in young children with autism: A randomized controlled intervention study. Journal of Child Psychology and Psychiatry, 47(6), 611–620.</w:t>
      </w:r>
    </w:p>
    <w:p>
      <w:pPr>
        <w:spacing w:after="120"/>
      </w:pPr>
      <w:r>
        <w:t xml:space="preserve">Kasari, C., Paparella, T., Freeman, S., &amp; Jahromi, L. B. (2008). Language outcome in autism: Randomized comparison of joint attention and play interventions. Journal of Consulting and Clinical Psychology, 76(1), 125–137.</w:t>
      </w:r>
    </w:p>
    <w:p>
      <w:pPr>
        <w:spacing w:after="120"/>
      </w:pPr>
      <w:r>
        <w:t xml:space="preserve">Lynn, M. R. (1986). Determination and quantification of content validity. Nursing Research, 35(6), 382–385.</w:t>
      </w:r>
    </w:p>
    <w:p>
      <w:pPr>
        <w:spacing w:after="120"/>
      </w:pPr>
      <w:r>
        <w:t xml:space="preserve">Mundy, P., Delgado, C., Block, J., Venezia, M., Hogan, A., &amp; Seibert, J. (2003). Early Social Communication Scales (ESCS). University of Miami.</w:t>
      </w:r>
    </w:p>
    <w:p>
      <w:pPr>
        <w:spacing w:after="120"/>
      </w:pPr>
      <w:r>
        <w:t xml:space="preserve">Mundy, P., Sigman, M., &amp; Kasari, C. (1990). A longitudinal study of joint attention and language development in autistic children. Journal of Autism and Developmental Disorders, 20(1), 115–128.</w:t>
      </w:r>
    </w:p>
    <w:p>
      <w:pPr>
        <w:spacing w:after="120"/>
      </w:pPr>
      <w:r>
        <w:t xml:space="preserve">Polit, D. F., &amp; Beck, C. T. (2006). The content validity index: Are you sure you know what’s being reported? Critique and recommendations. Research in Nursing &amp; Health, 29(5), 489–497. https://doi.org/10.1002/nur.20147</w:t>
      </w:r>
    </w:p>
    <w:p>
      <w:pPr>
        <w:spacing w:after="120"/>
      </w:pPr>
      <w:r>
        <w:t xml:space="preserve">Schreibman, L., Dawson, G., Stahmer, A. C., Landa, R., Rogers, S. J., McGee, G. G., Kasari, C., Ingersoll, B., Kaiser, A. P., Bruinsma, Y., McNerney, E., Wetherby, A., &amp; Halladay, A. (2015). Naturalistic developmental behavioral interventions: Empirically validated treatments for autism spectrum disorder. Journal of Autism and Developmental Disorders, 45(8), 2411–2428.</w:t>
      </w:r>
    </w:p>
    <w:p>
      <w:pPr>
        <w:spacing w:after="120"/>
      </w:pPr>
      <w:r>
        <w:t xml:space="preserve">Skjoldborg, N. M., Bender, P. K., &amp; Jensen de López, K. M. (2022). The efficacy of head-mounted-display virtual reality intervention to improve life skills of individuals with autism spectrum disorders: A systematic review. Neuropsychiatric Disease and Treatment, 18, 2295–2310. https://doi.org/10.2147/NDT.S331990</w:t>
      </w:r>
    </w:p>
    <w:p>
      <w:pPr>
        <w:spacing w:after="120"/>
      </w:pPr>
      <w:r>
        <w:t xml:space="preserve">Zhang, Q., Wu, R., Zhu, S., Le, J., Chen, Y., Lan, C., Yao, S., Zhao, W., &amp; Kendrick, K. M. (2021). Facial emotion training as an intervention in autism spectrum disorder: A meta-analysis of randomized controlled trials. Autism Research, 14(10), 2169–2182. https://doi.org/10.1002/aur.2565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2026-07-18T11:32:15.405Z</dcterms:created>
  <dcterms:modified xsi:type="dcterms:W3CDTF">2026-07-18T11:32:15.406Z</dcterms:modified>
</cp:coreProperties>
</file>

<file path=docProps/custom.xml><?xml version="1.0" encoding="utf-8"?>
<Properties xmlns="http://schemas.openxmlformats.org/officeDocument/2006/custom-properties" xmlns:vt="http://schemas.openxmlformats.org/officeDocument/2006/docPropsVTypes"/>
</file>