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Expert Content-Validation Rating Form</w:t>
      </w:r>
    </w:p>
    <w:p>
      <w:pPr>
        <w:spacing w:after="240" w:before="120"/>
        <w:jc w:val="center"/>
      </w:pPr>
      <w:r>
        <w:rPr>
          <w:i/>
          <w:iCs/>
          <w:sz w:val="24"/>
          <w:szCs w:val="24"/>
        </w:rPr>
        <w:t xml:space="preserve">Serious-Game Intervention for Emotional Identification, Turn-Taking and Joint Attention in Autistic Children (Ages 7–15)</w:t>
      </w:r>
    </w:p>
    <w:p>
      <w:pPr>
        <w:pStyle w:val="Heading1"/>
        <w:spacing w:after="140" w:before="280"/>
      </w:pPr>
      <w:r>
        <w:t xml:space="preserve">Instructions to the expert</w:t>
      </w:r>
    </w:p>
    <w:p>
      <w:pPr>
        <w:spacing w:after="120"/>
      </w:pPr>
      <w:r>
        <w:t xml:space="preserve">Thank you for serving on the content-validation panel. Please read the accompanying Content Validity Dossier before completing this form. The dossier describes, for each of the six games, the target construct, the supporting evidence, the game mechanic, the difficulty progression, and the performance metrics.</w:t>
      </w:r>
    </w:p>
    <w:p>
      <w:pPr>
        <w:spacing w:after="120"/>
      </w:pPr>
      <w:r>
        <w:t xml:space="preserve">Rate every numbered item below by ticking one box, using this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shd w:fill="E8EEF7" w:val="clear"/>
            <w:tcMar>
              <w:top w:type="dxa" w:w="60"/>
              <w:left w:type="dxa" w:w="100"/>
              <w:bottom w:type="dxa" w:w="60"/>
              <w:right w:type="dxa" w:w="100"/>
            </w:tcMar>
          </w:tcPr>
          <w:p>
            <w:pPr>
              <w:spacing w:after="0"/>
              <w:jc w:val="left"/>
            </w:pPr>
            <w:r>
              <w:rPr>
                <w:b/>
                <w:bCs/>
              </w:rPr>
              <w:t xml:space="preserve">Rating</w:t>
            </w:r>
          </w:p>
        </w:tc>
        <w:tc>
          <w:tcPr>
            <w:tcW w:type="dxa" w:w="3300"/>
            <w:shd w:fill="E8EEF7" w:val="clear"/>
            <w:tcMar>
              <w:top w:type="dxa" w:w="60"/>
              <w:left w:type="dxa" w:w="100"/>
              <w:bottom w:type="dxa" w:w="60"/>
              <w:right w:type="dxa" w:w="100"/>
            </w:tcMar>
          </w:tcPr>
          <w:p>
            <w:pPr>
              <w:spacing w:after="0"/>
              <w:jc w:val="left"/>
            </w:pPr>
            <w:r>
              <w:rPr>
                <w:b/>
                <w:bCs/>
              </w:rPr>
              <w:t xml:space="preserve">Label</w:t>
            </w:r>
          </w:p>
        </w:tc>
        <w:tc>
          <w:tcPr>
            <w:tcW w:type="dxa" w:w="4526"/>
            <w:shd w:fill="E8EEF7" w:val="clear"/>
            <w:tcMar>
              <w:top w:type="dxa" w:w="60"/>
              <w:left w:type="dxa" w:w="100"/>
              <w:bottom w:type="dxa" w:w="60"/>
              <w:right w:type="dxa" w:w="100"/>
            </w:tcMar>
          </w:tcPr>
          <w:p>
            <w:pPr>
              <w:spacing w:after="0"/>
              <w:jc w:val="left"/>
            </w:pPr>
            <w:r>
              <w:rPr>
                <w:b/>
                <w:bCs/>
              </w:rPr>
              <w:t xml:space="preserve">Meaning</w:t>
            </w:r>
          </w:p>
        </w:tc>
      </w:tr>
      <w:tr>
        <w:tc>
          <w:tcPr>
            <w:tcW w:type="dxa" w:w="1200"/>
            <w:tcMar>
              <w:top w:type="dxa" w:w="60"/>
              <w:left w:type="dxa" w:w="100"/>
              <w:bottom w:type="dxa" w:w="60"/>
              <w:right w:type="dxa" w:w="100"/>
            </w:tcMar>
          </w:tcPr>
          <w:p>
            <w:pPr>
              <w:spacing w:after="0"/>
              <w:jc w:val="left"/>
            </w:pPr>
            <w:r>
              <w:rPr>
                <w:b w:val="false"/>
                <w:bCs w:val="false"/>
              </w:rPr>
              <w:t xml:space="preserve">1</w:t>
            </w:r>
          </w:p>
        </w:tc>
        <w:tc>
          <w:tcPr>
            <w:tcW w:type="dxa" w:w="3300"/>
            <w:tcMar>
              <w:top w:type="dxa" w:w="60"/>
              <w:left w:type="dxa" w:w="100"/>
              <w:bottom w:type="dxa" w:w="60"/>
              <w:right w:type="dxa" w:w="100"/>
            </w:tcMar>
          </w:tcPr>
          <w:p>
            <w:pPr>
              <w:spacing w:after="0"/>
              <w:jc w:val="left"/>
            </w:pPr>
            <w:r>
              <w:rPr>
                <w:b w:val="false"/>
                <w:bCs w:val="false"/>
              </w:rPr>
              <w:t xml:space="preserve">Not relevant / not appropriate</w:t>
            </w:r>
          </w:p>
        </w:tc>
        <w:tc>
          <w:tcPr>
            <w:tcW w:type="dxa" w:w="4526"/>
            <w:tcMar>
              <w:top w:type="dxa" w:w="60"/>
              <w:left w:type="dxa" w:w="100"/>
              <w:bottom w:type="dxa" w:w="60"/>
              <w:right w:type="dxa" w:w="100"/>
            </w:tcMar>
          </w:tcPr>
          <w:p>
            <w:pPr>
              <w:spacing w:after="0"/>
              <w:jc w:val="left"/>
            </w:pPr>
            <w:r>
              <w:rPr>
                <w:b w:val="false"/>
                <w:bCs w:val="false"/>
              </w:rPr>
              <w:t xml:space="preserve">The item fails the criterion; the element should be redesigned or dropped</w:t>
            </w:r>
          </w:p>
        </w:tc>
      </w:tr>
      <w:tr>
        <w:tc>
          <w:tcPr>
            <w:tcW w:type="dxa" w:w="1200"/>
            <w:tcMar>
              <w:top w:type="dxa" w:w="60"/>
              <w:left w:type="dxa" w:w="100"/>
              <w:bottom w:type="dxa" w:w="60"/>
              <w:right w:type="dxa" w:w="100"/>
            </w:tcMar>
          </w:tcPr>
          <w:p>
            <w:pPr>
              <w:spacing w:after="0"/>
              <w:jc w:val="left"/>
            </w:pPr>
            <w:r>
              <w:rPr>
                <w:b w:val="false"/>
                <w:bCs w:val="false"/>
              </w:rPr>
              <w:t xml:space="preserve">2</w:t>
            </w:r>
          </w:p>
        </w:tc>
        <w:tc>
          <w:tcPr>
            <w:tcW w:type="dxa" w:w="3300"/>
            <w:tcMar>
              <w:top w:type="dxa" w:w="60"/>
              <w:left w:type="dxa" w:w="100"/>
              <w:bottom w:type="dxa" w:w="60"/>
              <w:right w:type="dxa" w:w="100"/>
            </w:tcMar>
          </w:tcPr>
          <w:p>
            <w:pPr>
              <w:spacing w:after="0"/>
              <w:jc w:val="left"/>
            </w:pPr>
            <w:r>
              <w:rPr>
                <w:b w:val="false"/>
                <w:bCs w:val="false"/>
              </w:rPr>
              <w:t xml:space="preserve">Somewhat relevant</w:t>
            </w:r>
          </w:p>
        </w:tc>
        <w:tc>
          <w:tcPr>
            <w:tcW w:type="dxa" w:w="4526"/>
            <w:tcMar>
              <w:top w:type="dxa" w:w="60"/>
              <w:left w:type="dxa" w:w="100"/>
              <w:bottom w:type="dxa" w:w="60"/>
              <w:right w:type="dxa" w:w="100"/>
            </w:tcMar>
          </w:tcPr>
          <w:p>
            <w:pPr>
              <w:spacing w:after="0"/>
              <w:jc w:val="left"/>
            </w:pPr>
            <w:r>
              <w:rPr>
                <w:b w:val="false"/>
                <w:bCs w:val="false"/>
              </w:rPr>
              <w:t xml:space="preserve">Substantial revision needed before it meets the criterion</w:t>
            </w:r>
          </w:p>
        </w:tc>
      </w:tr>
      <w:tr>
        <w:tc>
          <w:tcPr>
            <w:tcW w:type="dxa" w:w="1200"/>
            <w:tcMar>
              <w:top w:type="dxa" w:w="60"/>
              <w:left w:type="dxa" w:w="100"/>
              <w:bottom w:type="dxa" w:w="60"/>
              <w:right w:type="dxa" w:w="100"/>
            </w:tcMar>
          </w:tcPr>
          <w:p>
            <w:pPr>
              <w:spacing w:after="0"/>
              <w:jc w:val="left"/>
            </w:pPr>
            <w:r>
              <w:rPr>
                <w:b w:val="false"/>
                <w:bCs w:val="false"/>
              </w:rPr>
              <w:t xml:space="preserve">3</w:t>
            </w:r>
          </w:p>
        </w:tc>
        <w:tc>
          <w:tcPr>
            <w:tcW w:type="dxa" w:w="3300"/>
            <w:tcMar>
              <w:top w:type="dxa" w:w="60"/>
              <w:left w:type="dxa" w:w="100"/>
              <w:bottom w:type="dxa" w:w="60"/>
              <w:right w:type="dxa" w:w="100"/>
            </w:tcMar>
          </w:tcPr>
          <w:p>
            <w:pPr>
              <w:spacing w:after="0"/>
              <w:jc w:val="left"/>
            </w:pPr>
            <w:r>
              <w:rPr>
                <w:b w:val="false"/>
                <w:bCs w:val="false"/>
              </w:rPr>
              <w:t xml:space="preserve">Quite relevant</w:t>
            </w:r>
          </w:p>
        </w:tc>
        <w:tc>
          <w:tcPr>
            <w:tcW w:type="dxa" w:w="4526"/>
            <w:tcMar>
              <w:top w:type="dxa" w:w="60"/>
              <w:left w:type="dxa" w:w="100"/>
              <w:bottom w:type="dxa" w:w="60"/>
              <w:right w:type="dxa" w:w="100"/>
            </w:tcMar>
          </w:tcPr>
          <w:p>
            <w:pPr>
              <w:spacing w:after="0"/>
              <w:jc w:val="left"/>
            </w:pPr>
            <w:r>
              <w:rPr>
                <w:b w:val="false"/>
                <w:bCs w:val="false"/>
              </w:rPr>
              <w:t xml:space="preserve">Minor revision would make it fully satisfactory</w:t>
            </w:r>
          </w:p>
        </w:tc>
      </w:tr>
      <w:tr>
        <w:tc>
          <w:tcPr>
            <w:tcW w:type="dxa" w:w="1200"/>
            <w:tcMar>
              <w:top w:type="dxa" w:w="60"/>
              <w:left w:type="dxa" w:w="100"/>
              <w:bottom w:type="dxa" w:w="60"/>
              <w:right w:type="dxa" w:w="100"/>
            </w:tcMar>
          </w:tcPr>
          <w:p>
            <w:pPr>
              <w:spacing w:after="0"/>
              <w:jc w:val="left"/>
            </w:pPr>
            <w:r>
              <w:rPr>
                <w:b w:val="false"/>
                <w:bCs w:val="false"/>
              </w:rPr>
              <w:t xml:space="preserve">4</w:t>
            </w:r>
          </w:p>
        </w:tc>
        <w:tc>
          <w:tcPr>
            <w:tcW w:type="dxa" w:w="3300"/>
            <w:tcMar>
              <w:top w:type="dxa" w:w="60"/>
              <w:left w:type="dxa" w:w="100"/>
              <w:bottom w:type="dxa" w:w="60"/>
              <w:right w:type="dxa" w:w="100"/>
            </w:tcMar>
          </w:tcPr>
          <w:p>
            <w:pPr>
              <w:spacing w:after="0"/>
              <w:jc w:val="left"/>
            </w:pPr>
            <w:r>
              <w:rPr>
                <w:b w:val="false"/>
                <w:bCs w:val="false"/>
              </w:rPr>
              <w:t xml:space="preserve">Highly relevant / appropriate</w:t>
            </w:r>
          </w:p>
        </w:tc>
        <w:tc>
          <w:tcPr>
            <w:tcW w:type="dxa" w:w="4526"/>
            <w:tcMar>
              <w:top w:type="dxa" w:w="60"/>
              <w:left w:type="dxa" w:w="100"/>
              <w:bottom w:type="dxa" w:w="60"/>
              <w:right w:type="dxa" w:w="100"/>
            </w:tcMar>
          </w:tcPr>
          <w:p>
            <w:pPr>
              <w:spacing w:after="0"/>
              <w:jc w:val="left"/>
            </w:pPr>
            <w:r>
              <w:rPr>
                <w:b w:val="false"/>
                <w:bCs w:val="false"/>
              </w:rPr>
              <w:t xml:space="preserve">Meets the criterion as designed</w:t>
            </w:r>
          </w:p>
        </w:tc>
      </w:tr>
    </w:tbl>
    <w:p>
      <w:pPr>
        <w:spacing w:after="120"/>
      </w:pPr>
      <w:r>
        <w:t xml:space="preserve"/>
      </w:r>
    </w:p>
    <w:p>
      <w:pPr>
        <w:pStyle w:val="ListParagraph"/>
        <w:numPr>
          <w:ilvl w:val="0"/>
          <w:numId w:val="2"/>
        </w:numPr>
        <w:spacing w:after="80"/>
      </w:pPr>
      <w:r>
        <w:t xml:space="preserve">Please rate independently — do not confer with other panel members.</w:t>
      </w:r>
    </w:p>
    <w:p>
      <w:pPr>
        <w:pStyle w:val="ListParagraph"/>
        <w:numPr>
          <w:ilvl w:val="0"/>
          <w:numId w:val="2"/>
        </w:numPr>
        <w:spacing w:after="80"/>
      </w:pPr>
      <w:r>
        <w:t xml:space="preserve">For any rating of 1 or 2, a brief written reason in the comments box is essential.</w:t>
      </w:r>
    </w:p>
    <w:p>
      <w:pPr>
        <w:pStyle w:val="ListParagraph"/>
        <w:numPr>
          <w:ilvl w:val="0"/>
          <w:numId w:val="2"/>
        </w:numPr>
        <w:spacing w:after="80"/>
      </w:pPr>
      <w:r>
        <w:t xml:space="preserve">Feel free to comment on items rated 3 or 4 as well; written feedback guides revision as much as the numbers do.</w:t>
      </w:r>
    </w:p>
    <w:p>
      <w:pPr>
        <w:spacing w:after="120"/>
      </w:pPr>
      <w:r>
        <w:t xml:space="preserve"/>
      </w:r>
    </w:p>
    <w:p>
      <w:pPr>
        <w:pStyle w:val="Heading1"/>
        <w:spacing w:after="140" w:before="280"/>
      </w:pPr>
      <w:r>
        <w:t xml:space="preserve">Expert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EF7" w:val="clear"/>
            <w:tcMar>
              <w:top w:type="dxa" w:w="60"/>
              <w:left w:type="dxa" w:w="100"/>
              <w:bottom w:type="dxa" w:w="60"/>
              <w:right w:type="dxa" w:w="100"/>
            </w:tcMar>
          </w:tcPr>
          <w:p>
            <w:pPr>
              <w:spacing w:after="0"/>
              <w:jc w:val="left"/>
            </w:pPr>
            <w:r>
              <w:rPr>
                <w:b/>
                <w:bCs/>
              </w:rPr>
              <w:t xml:space="preserve">Field</w:t>
            </w:r>
          </w:p>
        </w:tc>
        <w:tc>
          <w:tcPr>
            <w:tcW w:type="dxa" w:w="6026"/>
            <w:shd w:fill="E8EEF7" w:val="clear"/>
            <w:tcMar>
              <w:top w:type="dxa" w:w="60"/>
              <w:left w:type="dxa" w:w="100"/>
              <w:bottom w:type="dxa" w:w="60"/>
              <w:right w:type="dxa" w:w="100"/>
            </w:tcMar>
          </w:tcPr>
          <w:p>
            <w:pPr>
              <w:spacing w:after="0"/>
              <w:jc w:val="left"/>
            </w:pPr>
            <w:r>
              <w:rPr>
                <w:b/>
                <w:bCs/>
              </w:rPr>
              <w:t xml:space="preserve">Response</w:t>
            </w:r>
          </w:p>
        </w:tc>
      </w:tr>
      <w:tr>
        <w:tc>
          <w:tcPr>
            <w:tcW w:type="dxa" w:w="3000"/>
            <w:tcMar>
              <w:top w:type="dxa" w:w="60"/>
              <w:left w:type="dxa" w:w="100"/>
              <w:bottom w:type="dxa" w:w="60"/>
              <w:right w:type="dxa" w:w="100"/>
            </w:tcMar>
          </w:tcPr>
          <w:p>
            <w:pPr>
              <w:spacing w:after="0"/>
              <w:jc w:val="left"/>
            </w:pPr>
            <w:r>
              <w:rPr>
                <w:b w:val="false"/>
                <w:bCs w:val="false"/>
              </w:rPr>
              <w:t xml:space="preserve">Name</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Highest qualification</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Designation / profession</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Institution</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Years of experience with autistic children</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Area of specialisation</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Date</w:t>
            </w:r>
          </w:p>
        </w:tc>
        <w:tc>
          <w:tcPr>
            <w:tcW w:type="dxa" w:w="6026"/>
            <w:tcMar>
              <w:top w:type="dxa" w:w="60"/>
              <w:left w:type="dxa" w:w="100"/>
              <w:bottom w:type="dxa" w:w="60"/>
              <w:right w:type="dxa" w:w="100"/>
            </w:tcMar>
          </w:tcPr>
          <w:p>
            <w:pPr>
              <w:spacing w:after="0"/>
              <w:jc w:val="left"/>
            </w:pPr>
            <w:r>
              <w:rPr>
                <w:b w:val="false"/>
                <w:bCs w:val="false"/>
              </w:rPr>
              <w:t xml:space="preserve"/>
            </w:r>
          </w:p>
        </w:tc>
      </w:tr>
      <w:tr>
        <w:tc>
          <w:tcPr>
            <w:tcW w:type="dxa" w:w="3000"/>
            <w:tcMar>
              <w:top w:type="dxa" w:w="60"/>
              <w:left w:type="dxa" w:w="100"/>
              <w:bottom w:type="dxa" w:w="60"/>
              <w:right w:type="dxa" w:w="100"/>
            </w:tcMar>
          </w:tcPr>
          <w:p>
            <w:pPr>
              <w:spacing w:after="0"/>
              <w:jc w:val="left"/>
            </w:pPr>
            <w:r>
              <w:rPr>
                <w:b w:val="false"/>
                <w:bCs w:val="false"/>
              </w:rPr>
              <w:t xml:space="preserve">Signature</w:t>
            </w:r>
          </w:p>
        </w:tc>
        <w:tc>
          <w:tcPr>
            <w:tcW w:type="dxa" w:w="6026"/>
            <w:tcMar>
              <w:top w:type="dxa" w:w="60"/>
              <w:left w:type="dxa" w:w="100"/>
              <w:bottom w:type="dxa" w:w="60"/>
              <w:right w:type="dxa" w:w="100"/>
            </w:tcMar>
          </w:tcPr>
          <w:p>
            <w:pPr>
              <w:spacing w:after="0"/>
              <w:jc w:val="left"/>
            </w:pPr>
            <w:r>
              <w:rPr>
                <w:b w:val="false"/>
                <w:bCs w:val="false"/>
              </w:rPr>
              <w:t xml:space="preserve"/>
            </w:r>
          </w:p>
        </w:tc>
      </w:tr>
    </w:tbl>
    <w:p>
      <w:r>
        <w:br w:type="page"/>
      </w:r>
    </w:p>
    <w:p>
      <w:pPr>
        <w:pStyle w:val="Heading1"/>
        <w:spacing w:after="140" w:before="280"/>
      </w:pPr>
      <w:r>
        <w:t xml:space="preserve">Section A — Skill-domain coverage</w:t>
      </w:r>
    </w:p>
    <w:p>
      <w:pPr>
        <w:spacing w:after="120"/>
      </w:pPr>
      <w:r>
        <w:t xml:space="preserve">Considering each pair of games together (desktop + VR builds), rate how adequately the pair represents its skill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1</w:t>
            </w:r>
          </w:p>
        </w:tc>
        <w:tc>
          <w:tcPr>
            <w:tcW w:type="dxa" w:w="5266"/>
            <w:tcMar>
              <w:top w:type="dxa" w:w="60"/>
              <w:left w:type="dxa" w:w="100"/>
              <w:bottom w:type="dxa" w:w="60"/>
              <w:right w:type="dxa" w:w="100"/>
            </w:tcMar>
          </w:tcPr>
          <w:p>
            <w:pPr>
              <w:spacing w:after="0"/>
              <w:jc w:val="left"/>
            </w:pPr>
            <w:r>
              <w:rPr>
                <w:b w:val="false"/>
                <w:bCs w:val="false"/>
              </w:rPr>
              <w:t xml:space="preserve">The pair Emotion Recognition + Emotion Clips adequately represents the domain of emotional identification (static and dynamic recognition, and cause understanding).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w:t>
            </w:r>
          </w:p>
        </w:tc>
        <w:tc>
          <w:tcPr>
            <w:tcW w:type="dxa" w:w="5266"/>
            <w:tcMar>
              <w:top w:type="dxa" w:w="60"/>
              <w:left w:type="dxa" w:w="100"/>
              <w:bottom w:type="dxa" w:w="60"/>
              <w:right w:type="dxa" w:w="100"/>
            </w:tcMar>
          </w:tcPr>
          <w:p>
            <w:pPr>
              <w:spacing w:after="0"/>
              <w:jc w:val="left"/>
            </w:pPr>
            <w:r>
              <w:rPr>
                <w:b w:val="false"/>
                <w:bCs w:val="false"/>
              </w:rPr>
              <w:t xml:space="preserve">The pair Block Buddies + Roll-Back Buddy adequately represents the domain of turn-taking (waiting/monitoring, and partner-cue reading).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w:t>
            </w:r>
          </w:p>
        </w:tc>
        <w:tc>
          <w:tcPr>
            <w:tcW w:type="dxa" w:w="5266"/>
            <w:tcMar>
              <w:top w:type="dxa" w:w="60"/>
              <w:left w:type="dxa" w:w="100"/>
              <w:bottom w:type="dxa" w:w="60"/>
              <w:right w:type="dxa" w:w="100"/>
            </w:tcMar>
          </w:tcPr>
          <w:p>
            <w:pPr>
              <w:spacing w:after="0"/>
              <w:jc w:val="left"/>
            </w:pPr>
            <w:r>
              <w:rPr>
                <w:b w:val="false"/>
                <w:bCs w:val="false"/>
              </w:rPr>
              <w:t xml:space="preserve">The pair Museum Look + Look What I Found! adequately represents the domain of joint attention (responding — RJA, and initiating — IJA).</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1"/>
        <w:spacing w:after="140" w:before="280"/>
      </w:pPr>
      <w:r>
        <w:t xml:space="preserve">Section B — Emotional identification games</w:t>
      </w:r>
    </w:p>
    <w:p>
      <w:pPr>
        <w:pStyle w:val="Heading2"/>
        <w:spacing w:after="120" w:before="240"/>
      </w:pPr>
      <w:r>
        <w:t xml:space="preserve">B1. Emotion Recognition (VR: Emotion Room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4</w:t>
            </w:r>
          </w:p>
        </w:tc>
        <w:tc>
          <w:tcPr>
            <w:tcW w:type="dxa" w:w="5266"/>
            <w:tcMar>
              <w:top w:type="dxa" w:w="60"/>
              <w:left w:type="dxa" w:w="100"/>
              <w:bottom w:type="dxa" w:w="60"/>
              <w:right w:type="dxa" w:w="100"/>
            </w:tcMar>
          </w:tcPr>
          <w:p>
            <w:pPr>
              <w:spacing w:after="0"/>
              <w:jc w:val="left"/>
            </w:pPr>
            <w:r>
              <w:rPr>
                <w:b w:val="false"/>
                <w:bCs w:val="false"/>
              </w:rPr>
              <w:t xml:space="preserve">The core mechanic of Emotion Recognition is relevant to the construct of emotion recognition and labelling.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5</w:t>
            </w:r>
          </w:p>
        </w:tc>
        <w:tc>
          <w:tcPr>
            <w:tcW w:type="dxa" w:w="5266"/>
            <w:tcMar>
              <w:top w:type="dxa" w:w="60"/>
              <w:left w:type="dxa" w:w="100"/>
              <w:bottom w:type="dxa" w:w="60"/>
              <w:right w:type="dxa" w:w="100"/>
            </w:tcMar>
          </w:tcPr>
          <w:p>
            <w:pPr>
              <w:spacing w:after="0"/>
              <w:jc w:val="left"/>
            </w:pPr>
            <w:r>
              <w:rPr>
                <w:b w:val="false"/>
                <w:bCs w:val="false"/>
              </w:rPr>
              <w:t xml:space="preserve">The behaviours the game elicits are representative of how emotion recognition and labelling presents in children’s daily life.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6</w:t>
            </w:r>
          </w:p>
        </w:tc>
        <w:tc>
          <w:tcPr>
            <w:tcW w:type="dxa" w:w="5266"/>
            <w:tcMar>
              <w:top w:type="dxa" w:w="60"/>
              <w:left w:type="dxa" w:w="100"/>
              <w:bottom w:type="dxa" w:w="60"/>
              <w:right w:type="dxa" w:w="100"/>
            </w:tcMar>
          </w:tcPr>
          <w:p>
            <w:pPr>
              <w:spacing w:after="0"/>
              <w:jc w:val="left"/>
            </w:pPr>
            <w:r>
              <w:rPr>
                <w:b w:val="false"/>
                <w:bCs w:val="false"/>
              </w:rPr>
              <w:t xml:space="preserve">The instructions, visuals and feedback of Emotion Recognition would be understood by autistic children aged 7–15.</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7</w:t>
            </w:r>
          </w:p>
        </w:tc>
        <w:tc>
          <w:tcPr>
            <w:tcW w:type="dxa" w:w="5266"/>
            <w:tcMar>
              <w:top w:type="dxa" w:w="60"/>
              <w:left w:type="dxa" w:w="100"/>
              <w:bottom w:type="dxa" w:w="60"/>
              <w:right w:type="dxa" w:w="100"/>
            </w:tcMar>
          </w:tcPr>
          <w:p>
            <w:pPr>
              <w:spacing w:after="0"/>
              <w:jc w:val="left"/>
            </w:pPr>
            <w:r>
              <w:rPr>
                <w:b w:val="false"/>
                <w:bCs w:val="false"/>
              </w:rPr>
              <w:t xml:space="preserve">The easy→hard difficulty progression of Emotion Recognition is developmentally and clinically logical.</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8</w:t>
            </w:r>
          </w:p>
        </w:tc>
        <w:tc>
          <w:tcPr>
            <w:tcW w:type="dxa" w:w="5266"/>
            <w:tcMar>
              <w:top w:type="dxa" w:w="60"/>
              <w:left w:type="dxa" w:w="100"/>
              <w:bottom w:type="dxa" w:w="60"/>
              <w:right w:type="dxa" w:w="100"/>
            </w:tcMar>
          </w:tcPr>
          <w:p>
            <w:pPr>
              <w:spacing w:after="0"/>
              <w:jc w:val="left"/>
            </w:pPr>
            <w:r>
              <w:rPr>
                <w:b w:val="false"/>
                <w:bCs w:val="false"/>
              </w:rPr>
              <w:t xml:space="preserve">The performance metrics recorded by Emotion Recognition are valid indicators of emotion recognition and labelling.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9</w:t>
            </w:r>
          </w:p>
        </w:tc>
        <w:tc>
          <w:tcPr>
            <w:tcW w:type="dxa" w:w="5266"/>
            <w:tcMar>
              <w:top w:type="dxa" w:w="60"/>
              <w:left w:type="dxa" w:w="100"/>
              <w:bottom w:type="dxa" w:w="60"/>
              <w:right w:type="dxa" w:w="100"/>
            </w:tcMar>
          </w:tcPr>
          <w:p>
            <w:pPr>
              <w:spacing w:after="0"/>
              <w:jc w:val="left"/>
            </w:pPr>
            <w:r>
              <w:rPr>
                <w:b w:val="false"/>
                <w:bCs w:val="false"/>
              </w:rPr>
              <w:t xml:space="preserve">The 360° VR build of Emotion Recognition preserves the target construct while remaining safe and comfortable for this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2"/>
        <w:spacing w:after="120" w:before="240"/>
      </w:pPr>
      <w:r>
        <w:t xml:space="preserve">B2. Emotion Clips (VR: Emotion Cinema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10</w:t>
            </w:r>
          </w:p>
        </w:tc>
        <w:tc>
          <w:tcPr>
            <w:tcW w:type="dxa" w:w="5266"/>
            <w:tcMar>
              <w:top w:type="dxa" w:w="60"/>
              <w:left w:type="dxa" w:w="100"/>
              <w:bottom w:type="dxa" w:w="60"/>
              <w:right w:type="dxa" w:w="100"/>
            </w:tcMar>
          </w:tcPr>
          <w:p>
            <w:pPr>
              <w:spacing w:after="0"/>
              <w:jc w:val="left"/>
            </w:pPr>
            <w:r>
              <w:rPr>
                <w:b w:val="false"/>
                <w:bCs w:val="false"/>
              </w:rPr>
              <w:t xml:space="preserve">The core mechanic of Emotion Clips is relevant to the construct of dynamic emotion recognition and cause understanding.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11</w:t>
            </w:r>
          </w:p>
        </w:tc>
        <w:tc>
          <w:tcPr>
            <w:tcW w:type="dxa" w:w="5266"/>
            <w:tcMar>
              <w:top w:type="dxa" w:w="60"/>
              <w:left w:type="dxa" w:w="100"/>
              <w:bottom w:type="dxa" w:w="60"/>
              <w:right w:type="dxa" w:w="100"/>
            </w:tcMar>
          </w:tcPr>
          <w:p>
            <w:pPr>
              <w:spacing w:after="0"/>
              <w:jc w:val="left"/>
            </w:pPr>
            <w:r>
              <w:rPr>
                <w:b w:val="false"/>
                <w:bCs w:val="false"/>
              </w:rPr>
              <w:t xml:space="preserve">The behaviours the game elicits are representative of how dynamic emotion recognition and cause understanding presents in children’s daily life.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12</w:t>
            </w:r>
          </w:p>
        </w:tc>
        <w:tc>
          <w:tcPr>
            <w:tcW w:type="dxa" w:w="5266"/>
            <w:tcMar>
              <w:top w:type="dxa" w:w="60"/>
              <w:left w:type="dxa" w:w="100"/>
              <w:bottom w:type="dxa" w:w="60"/>
              <w:right w:type="dxa" w:w="100"/>
            </w:tcMar>
          </w:tcPr>
          <w:p>
            <w:pPr>
              <w:spacing w:after="0"/>
              <w:jc w:val="left"/>
            </w:pPr>
            <w:r>
              <w:rPr>
                <w:b w:val="false"/>
                <w:bCs w:val="false"/>
              </w:rPr>
              <w:t xml:space="preserve">The instructions, visuals and feedback of Emotion Clips would be understood by autistic children aged 7–15.</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13</w:t>
            </w:r>
          </w:p>
        </w:tc>
        <w:tc>
          <w:tcPr>
            <w:tcW w:type="dxa" w:w="5266"/>
            <w:tcMar>
              <w:top w:type="dxa" w:w="60"/>
              <w:left w:type="dxa" w:w="100"/>
              <w:bottom w:type="dxa" w:w="60"/>
              <w:right w:type="dxa" w:w="100"/>
            </w:tcMar>
          </w:tcPr>
          <w:p>
            <w:pPr>
              <w:spacing w:after="0"/>
              <w:jc w:val="left"/>
            </w:pPr>
            <w:r>
              <w:rPr>
                <w:b w:val="false"/>
                <w:bCs w:val="false"/>
              </w:rPr>
              <w:t xml:space="preserve">The easy→hard difficulty progression of Emotion Clips is developmentally and clinically logical.</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14</w:t>
            </w:r>
          </w:p>
        </w:tc>
        <w:tc>
          <w:tcPr>
            <w:tcW w:type="dxa" w:w="5266"/>
            <w:tcMar>
              <w:top w:type="dxa" w:w="60"/>
              <w:left w:type="dxa" w:w="100"/>
              <w:bottom w:type="dxa" w:w="60"/>
              <w:right w:type="dxa" w:w="100"/>
            </w:tcMar>
          </w:tcPr>
          <w:p>
            <w:pPr>
              <w:spacing w:after="0"/>
              <w:jc w:val="left"/>
            </w:pPr>
            <w:r>
              <w:rPr>
                <w:b w:val="false"/>
                <w:bCs w:val="false"/>
              </w:rPr>
              <w:t xml:space="preserve">The performance metrics recorded by Emotion Clips are valid indicators of dynamic emotion recognition and cause understanding.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15</w:t>
            </w:r>
          </w:p>
        </w:tc>
        <w:tc>
          <w:tcPr>
            <w:tcW w:type="dxa" w:w="5266"/>
            <w:tcMar>
              <w:top w:type="dxa" w:w="60"/>
              <w:left w:type="dxa" w:w="100"/>
              <w:bottom w:type="dxa" w:w="60"/>
              <w:right w:type="dxa" w:w="100"/>
            </w:tcMar>
          </w:tcPr>
          <w:p>
            <w:pPr>
              <w:spacing w:after="0"/>
              <w:jc w:val="left"/>
            </w:pPr>
            <w:r>
              <w:rPr>
                <w:b w:val="false"/>
                <w:bCs w:val="false"/>
              </w:rPr>
              <w:t xml:space="preserve">The 360° VR build of Emotion Clips preserves the target construct while remaining safe and comfortable for this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1"/>
        <w:spacing w:after="140" w:before="280"/>
      </w:pPr>
      <w:r>
        <w:t xml:space="preserve">Section C — Turn-taking games</w:t>
      </w:r>
    </w:p>
    <w:p>
      <w:pPr>
        <w:pStyle w:val="Heading2"/>
        <w:spacing w:after="120" w:before="240"/>
      </w:pPr>
      <w:r>
        <w:t xml:space="preserve">C1. Block Buddies (VR: Playroom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16</w:t>
            </w:r>
          </w:p>
        </w:tc>
        <w:tc>
          <w:tcPr>
            <w:tcW w:type="dxa" w:w="5266"/>
            <w:tcMar>
              <w:top w:type="dxa" w:w="60"/>
              <w:left w:type="dxa" w:w="100"/>
              <w:bottom w:type="dxa" w:w="60"/>
              <w:right w:type="dxa" w:w="100"/>
            </w:tcMar>
          </w:tcPr>
          <w:p>
            <w:pPr>
              <w:spacing w:after="0"/>
              <w:jc w:val="left"/>
            </w:pPr>
            <w:r>
              <w:rPr>
                <w:b w:val="false"/>
                <w:bCs w:val="false"/>
              </w:rPr>
              <w:t xml:space="preserve">The core mechanic of Block Buddies is relevant to the construct of waiting and turn monitoring.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17</w:t>
            </w:r>
          </w:p>
        </w:tc>
        <w:tc>
          <w:tcPr>
            <w:tcW w:type="dxa" w:w="5266"/>
            <w:tcMar>
              <w:top w:type="dxa" w:w="60"/>
              <w:left w:type="dxa" w:w="100"/>
              <w:bottom w:type="dxa" w:w="60"/>
              <w:right w:type="dxa" w:w="100"/>
            </w:tcMar>
          </w:tcPr>
          <w:p>
            <w:pPr>
              <w:spacing w:after="0"/>
              <w:jc w:val="left"/>
            </w:pPr>
            <w:r>
              <w:rPr>
                <w:b w:val="false"/>
                <w:bCs w:val="false"/>
              </w:rPr>
              <w:t xml:space="preserve">The behaviours the game elicits are representative of how waiting and turn monitoring presents in children’s daily life.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18</w:t>
            </w:r>
          </w:p>
        </w:tc>
        <w:tc>
          <w:tcPr>
            <w:tcW w:type="dxa" w:w="5266"/>
            <w:tcMar>
              <w:top w:type="dxa" w:w="60"/>
              <w:left w:type="dxa" w:w="100"/>
              <w:bottom w:type="dxa" w:w="60"/>
              <w:right w:type="dxa" w:w="100"/>
            </w:tcMar>
          </w:tcPr>
          <w:p>
            <w:pPr>
              <w:spacing w:after="0"/>
              <w:jc w:val="left"/>
            </w:pPr>
            <w:r>
              <w:rPr>
                <w:b w:val="false"/>
                <w:bCs w:val="false"/>
              </w:rPr>
              <w:t xml:space="preserve">The instructions, visuals and feedback of Block Buddies would be understood by autistic children aged 7–15.</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19</w:t>
            </w:r>
          </w:p>
        </w:tc>
        <w:tc>
          <w:tcPr>
            <w:tcW w:type="dxa" w:w="5266"/>
            <w:tcMar>
              <w:top w:type="dxa" w:w="60"/>
              <w:left w:type="dxa" w:w="100"/>
              <w:bottom w:type="dxa" w:w="60"/>
              <w:right w:type="dxa" w:w="100"/>
            </w:tcMar>
          </w:tcPr>
          <w:p>
            <w:pPr>
              <w:spacing w:after="0"/>
              <w:jc w:val="left"/>
            </w:pPr>
            <w:r>
              <w:rPr>
                <w:b w:val="false"/>
                <w:bCs w:val="false"/>
              </w:rPr>
              <w:t xml:space="preserve">The easy→hard difficulty progression of Block Buddies is developmentally and clinically logical.</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20</w:t>
            </w:r>
          </w:p>
        </w:tc>
        <w:tc>
          <w:tcPr>
            <w:tcW w:type="dxa" w:w="5266"/>
            <w:tcMar>
              <w:top w:type="dxa" w:w="60"/>
              <w:left w:type="dxa" w:w="100"/>
              <w:bottom w:type="dxa" w:w="60"/>
              <w:right w:type="dxa" w:w="100"/>
            </w:tcMar>
          </w:tcPr>
          <w:p>
            <w:pPr>
              <w:spacing w:after="0"/>
              <w:jc w:val="left"/>
            </w:pPr>
            <w:r>
              <w:rPr>
                <w:b w:val="false"/>
                <w:bCs w:val="false"/>
              </w:rPr>
              <w:t xml:space="preserve">The performance metrics recorded by Block Buddies are valid indicators of waiting and turn monitoring.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21</w:t>
            </w:r>
          </w:p>
        </w:tc>
        <w:tc>
          <w:tcPr>
            <w:tcW w:type="dxa" w:w="5266"/>
            <w:tcMar>
              <w:top w:type="dxa" w:w="60"/>
              <w:left w:type="dxa" w:w="100"/>
              <w:bottom w:type="dxa" w:w="60"/>
              <w:right w:type="dxa" w:w="100"/>
            </w:tcMar>
          </w:tcPr>
          <w:p>
            <w:pPr>
              <w:spacing w:after="0"/>
              <w:jc w:val="left"/>
            </w:pPr>
            <w:r>
              <w:rPr>
                <w:b w:val="false"/>
                <w:bCs w:val="false"/>
              </w:rPr>
              <w:t xml:space="preserve">The 360° VR build of Block Buddies preserves the target construct while remaining safe and comfortable for this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2"/>
        <w:spacing w:after="120" w:before="240"/>
      </w:pPr>
      <w:r>
        <w:t xml:space="preserve">C2. Roll-Back Buddy (VR: Football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22</w:t>
            </w:r>
          </w:p>
        </w:tc>
        <w:tc>
          <w:tcPr>
            <w:tcW w:type="dxa" w:w="5266"/>
            <w:tcMar>
              <w:top w:type="dxa" w:w="60"/>
              <w:left w:type="dxa" w:w="100"/>
              <w:bottom w:type="dxa" w:w="60"/>
              <w:right w:type="dxa" w:w="100"/>
            </w:tcMar>
          </w:tcPr>
          <w:p>
            <w:pPr>
              <w:spacing w:after="0"/>
              <w:jc w:val="left"/>
            </w:pPr>
            <w:r>
              <w:rPr>
                <w:b w:val="false"/>
                <w:bCs w:val="false"/>
              </w:rPr>
              <w:t xml:space="preserve">The core mechanic of Roll-Back Buddy is relevant to the construct of reciprocity and partner-cue reading.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23</w:t>
            </w:r>
          </w:p>
        </w:tc>
        <w:tc>
          <w:tcPr>
            <w:tcW w:type="dxa" w:w="5266"/>
            <w:tcMar>
              <w:top w:type="dxa" w:w="60"/>
              <w:left w:type="dxa" w:w="100"/>
              <w:bottom w:type="dxa" w:w="60"/>
              <w:right w:type="dxa" w:w="100"/>
            </w:tcMar>
          </w:tcPr>
          <w:p>
            <w:pPr>
              <w:spacing w:after="0"/>
              <w:jc w:val="left"/>
            </w:pPr>
            <w:r>
              <w:rPr>
                <w:b w:val="false"/>
                <w:bCs w:val="false"/>
              </w:rPr>
              <w:t xml:space="preserve">The behaviours the game elicits are representative of how reciprocity and partner-cue reading presents in children’s daily life.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24</w:t>
            </w:r>
          </w:p>
        </w:tc>
        <w:tc>
          <w:tcPr>
            <w:tcW w:type="dxa" w:w="5266"/>
            <w:tcMar>
              <w:top w:type="dxa" w:w="60"/>
              <w:left w:type="dxa" w:w="100"/>
              <w:bottom w:type="dxa" w:w="60"/>
              <w:right w:type="dxa" w:w="100"/>
            </w:tcMar>
          </w:tcPr>
          <w:p>
            <w:pPr>
              <w:spacing w:after="0"/>
              <w:jc w:val="left"/>
            </w:pPr>
            <w:r>
              <w:rPr>
                <w:b w:val="false"/>
                <w:bCs w:val="false"/>
              </w:rPr>
              <w:t xml:space="preserve">The instructions, visuals and feedback of Roll-Back Buddy would be understood by autistic children aged 7–15.</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25</w:t>
            </w:r>
          </w:p>
        </w:tc>
        <w:tc>
          <w:tcPr>
            <w:tcW w:type="dxa" w:w="5266"/>
            <w:tcMar>
              <w:top w:type="dxa" w:w="60"/>
              <w:left w:type="dxa" w:w="100"/>
              <w:bottom w:type="dxa" w:w="60"/>
              <w:right w:type="dxa" w:w="100"/>
            </w:tcMar>
          </w:tcPr>
          <w:p>
            <w:pPr>
              <w:spacing w:after="0"/>
              <w:jc w:val="left"/>
            </w:pPr>
            <w:r>
              <w:rPr>
                <w:b w:val="false"/>
                <w:bCs w:val="false"/>
              </w:rPr>
              <w:t xml:space="preserve">The easy→hard difficulty progression of Roll-Back Buddy is developmentally and clinically logical.</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26</w:t>
            </w:r>
          </w:p>
        </w:tc>
        <w:tc>
          <w:tcPr>
            <w:tcW w:type="dxa" w:w="5266"/>
            <w:tcMar>
              <w:top w:type="dxa" w:w="60"/>
              <w:left w:type="dxa" w:w="100"/>
              <w:bottom w:type="dxa" w:w="60"/>
              <w:right w:type="dxa" w:w="100"/>
            </w:tcMar>
          </w:tcPr>
          <w:p>
            <w:pPr>
              <w:spacing w:after="0"/>
              <w:jc w:val="left"/>
            </w:pPr>
            <w:r>
              <w:rPr>
                <w:b w:val="false"/>
                <w:bCs w:val="false"/>
              </w:rPr>
              <w:t xml:space="preserve">The performance metrics recorded by Roll-Back Buddy are valid indicators of reciprocity and partner-cue reading.</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27</w:t>
            </w:r>
          </w:p>
        </w:tc>
        <w:tc>
          <w:tcPr>
            <w:tcW w:type="dxa" w:w="5266"/>
            <w:tcMar>
              <w:top w:type="dxa" w:w="60"/>
              <w:left w:type="dxa" w:w="100"/>
              <w:bottom w:type="dxa" w:w="60"/>
              <w:right w:type="dxa" w:w="100"/>
            </w:tcMar>
          </w:tcPr>
          <w:p>
            <w:pPr>
              <w:spacing w:after="0"/>
              <w:jc w:val="left"/>
            </w:pPr>
            <w:r>
              <w:rPr>
                <w:b w:val="false"/>
                <w:bCs w:val="false"/>
              </w:rPr>
              <w:t xml:space="preserve">The 360° VR build of Roll-Back Buddy preserves the target construct while remaining safe and comfortable for this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1"/>
        <w:spacing w:after="140" w:before="280"/>
      </w:pPr>
      <w:r>
        <w:t xml:space="preserve">Section D — Joint attention games</w:t>
      </w:r>
    </w:p>
    <w:p>
      <w:pPr>
        <w:pStyle w:val="Heading2"/>
        <w:spacing w:after="120" w:before="240"/>
      </w:pPr>
      <w:r>
        <w:t xml:space="preserve">D1. Museum Look (VR: Museum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28</w:t>
            </w:r>
          </w:p>
        </w:tc>
        <w:tc>
          <w:tcPr>
            <w:tcW w:type="dxa" w:w="5266"/>
            <w:tcMar>
              <w:top w:type="dxa" w:w="60"/>
              <w:left w:type="dxa" w:w="100"/>
              <w:bottom w:type="dxa" w:w="60"/>
              <w:right w:type="dxa" w:w="100"/>
            </w:tcMar>
          </w:tcPr>
          <w:p>
            <w:pPr>
              <w:spacing w:after="0"/>
              <w:jc w:val="left"/>
            </w:pPr>
            <w:r>
              <w:rPr>
                <w:b w:val="false"/>
                <w:bCs w:val="false"/>
              </w:rPr>
              <w:t xml:space="preserve">The core mechanic of Museum Look is relevant to the construct of responding to joint attention (RJA).</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29</w:t>
            </w:r>
          </w:p>
        </w:tc>
        <w:tc>
          <w:tcPr>
            <w:tcW w:type="dxa" w:w="5266"/>
            <w:tcMar>
              <w:top w:type="dxa" w:w="60"/>
              <w:left w:type="dxa" w:w="100"/>
              <w:bottom w:type="dxa" w:w="60"/>
              <w:right w:type="dxa" w:w="100"/>
            </w:tcMar>
          </w:tcPr>
          <w:p>
            <w:pPr>
              <w:spacing w:after="0"/>
              <w:jc w:val="left"/>
            </w:pPr>
            <w:r>
              <w:rPr>
                <w:b w:val="false"/>
                <w:bCs w:val="false"/>
              </w:rPr>
              <w:t xml:space="preserve">The behaviours the game elicits are representative of how responding to joint attention (RJA) presents in children’s daily life.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30</w:t>
            </w:r>
          </w:p>
        </w:tc>
        <w:tc>
          <w:tcPr>
            <w:tcW w:type="dxa" w:w="5266"/>
            <w:tcMar>
              <w:top w:type="dxa" w:w="60"/>
              <w:left w:type="dxa" w:w="100"/>
              <w:bottom w:type="dxa" w:w="60"/>
              <w:right w:type="dxa" w:w="100"/>
            </w:tcMar>
          </w:tcPr>
          <w:p>
            <w:pPr>
              <w:spacing w:after="0"/>
              <w:jc w:val="left"/>
            </w:pPr>
            <w:r>
              <w:rPr>
                <w:b w:val="false"/>
                <w:bCs w:val="false"/>
              </w:rPr>
              <w:t xml:space="preserve">The instructions, visuals and feedback of Museum Look would be understood by autistic children aged 7–15.</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31</w:t>
            </w:r>
          </w:p>
        </w:tc>
        <w:tc>
          <w:tcPr>
            <w:tcW w:type="dxa" w:w="5266"/>
            <w:tcMar>
              <w:top w:type="dxa" w:w="60"/>
              <w:left w:type="dxa" w:w="100"/>
              <w:bottom w:type="dxa" w:w="60"/>
              <w:right w:type="dxa" w:w="100"/>
            </w:tcMar>
          </w:tcPr>
          <w:p>
            <w:pPr>
              <w:spacing w:after="0"/>
              <w:jc w:val="left"/>
            </w:pPr>
            <w:r>
              <w:rPr>
                <w:b w:val="false"/>
                <w:bCs w:val="false"/>
              </w:rPr>
              <w:t xml:space="preserve">The easy→hard difficulty progression of Museum Look is developmentally and clinically logical.</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32</w:t>
            </w:r>
          </w:p>
        </w:tc>
        <w:tc>
          <w:tcPr>
            <w:tcW w:type="dxa" w:w="5266"/>
            <w:tcMar>
              <w:top w:type="dxa" w:w="60"/>
              <w:left w:type="dxa" w:w="100"/>
              <w:bottom w:type="dxa" w:w="60"/>
              <w:right w:type="dxa" w:w="100"/>
            </w:tcMar>
          </w:tcPr>
          <w:p>
            <w:pPr>
              <w:spacing w:after="0"/>
              <w:jc w:val="left"/>
            </w:pPr>
            <w:r>
              <w:rPr>
                <w:b w:val="false"/>
                <w:bCs w:val="false"/>
              </w:rPr>
              <w:t xml:space="preserve">The performance metrics recorded by Museum Look are valid indicators of responding to joint attention (RJA).</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33</w:t>
            </w:r>
          </w:p>
        </w:tc>
        <w:tc>
          <w:tcPr>
            <w:tcW w:type="dxa" w:w="5266"/>
            <w:tcMar>
              <w:top w:type="dxa" w:w="60"/>
              <w:left w:type="dxa" w:w="100"/>
              <w:bottom w:type="dxa" w:w="60"/>
              <w:right w:type="dxa" w:w="100"/>
            </w:tcMar>
          </w:tcPr>
          <w:p>
            <w:pPr>
              <w:spacing w:after="0"/>
              <w:jc w:val="left"/>
            </w:pPr>
            <w:r>
              <w:rPr>
                <w:b w:val="false"/>
                <w:bCs w:val="false"/>
              </w:rPr>
              <w:t xml:space="preserve">The 360° VR build of Museum Look preserves the target construct while remaining safe and comfortable for this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2"/>
        <w:spacing w:after="120" w:before="240"/>
      </w:pPr>
      <w:r>
        <w:t xml:space="preserve">D2. Look What I Found! (VR: Park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34</w:t>
            </w:r>
          </w:p>
        </w:tc>
        <w:tc>
          <w:tcPr>
            <w:tcW w:type="dxa" w:w="5266"/>
            <w:tcMar>
              <w:top w:type="dxa" w:w="60"/>
              <w:left w:type="dxa" w:w="100"/>
              <w:bottom w:type="dxa" w:w="60"/>
              <w:right w:type="dxa" w:w="100"/>
            </w:tcMar>
          </w:tcPr>
          <w:p>
            <w:pPr>
              <w:spacing w:after="0"/>
              <w:jc w:val="left"/>
            </w:pPr>
            <w:r>
              <w:rPr>
                <w:b w:val="false"/>
                <w:bCs w:val="false"/>
              </w:rPr>
              <w:t xml:space="preserve">The core mechanic of Look What I Found! is relevant to the construct of initiating joint attention (IJA).</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35</w:t>
            </w:r>
          </w:p>
        </w:tc>
        <w:tc>
          <w:tcPr>
            <w:tcW w:type="dxa" w:w="5266"/>
            <w:tcMar>
              <w:top w:type="dxa" w:w="60"/>
              <w:left w:type="dxa" w:w="100"/>
              <w:bottom w:type="dxa" w:w="60"/>
              <w:right w:type="dxa" w:w="100"/>
            </w:tcMar>
          </w:tcPr>
          <w:p>
            <w:pPr>
              <w:spacing w:after="0"/>
              <w:jc w:val="left"/>
            </w:pPr>
            <w:r>
              <w:rPr>
                <w:b w:val="false"/>
                <w:bCs w:val="false"/>
              </w:rPr>
              <w:t xml:space="preserve">The behaviours the game elicits are representative of how initiating joint attention (IJA) presents in children’s daily life.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36</w:t>
            </w:r>
          </w:p>
        </w:tc>
        <w:tc>
          <w:tcPr>
            <w:tcW w:type="dxa" w:w="5266"/>
            <w:tcMar>
              <w:top w:type="dxa" w:w="60"/>
              <w:left w:type="dxa" w:w="100"/>
              <w:bottom w:type="dxa" w:w="60"/>
              <w:right w:type="dxa" w:w="100"/>
            </w:tcMar>
          </w:tcPr>
          <w:p>
            <w:pPr>
              <w:spacing w:after="0"/>
              <w:jc w:val="left"/>
            </w:pPr>
            <w:r>
              <w:rPr>
                <w:b w:val="false"/>
                <w:bCs w:val="false"/>
              </w:rPr>
              <w:t xml:space="preserve">The instructions, visuals and feedback of Look What I Found! would be understood by autistic children aged 7–15.</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37</w:t>
            </w:r>
          </w:p>
        </w:tc>
        <w:tc>
          <w:tcPr>
            <w:tcW w:type="dxa" w:w="5266"/>
            <w:tcMar>
              <w:top w:type="dxa" w:w="60"/>
              <w:left w:type="dxa" w:w="100"/>
              <w:bottom w:type="dxa" w:w="60"/>
              <w:right w:type="dxa" w:w="100"/>
            </w:tcMar>
          </w:tcPr>
          <w:p>
            <w:pPr>
              <w:spacing w:after="0"/>
              <w:jc w:val="left"/>
            </w:pPr>
            <w:r>
              <w:rPr>
                <w:b w:val="false"/>
                <w:bCs w:val="false"/>
              </w:rPr>
              <w:t xml:space="preserve">The easy→hard difficulty progression of Look What I Found! is developmentally and clinically logical.</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38</w:t>
            </w:r>
          </w:p>
        </w:tc>
        <w:tc>
          <w:tcPr>
            <w:tcW w:type="dxa" w:w="5266"/>
            <w:tcMar>
              <w:top w:type="dxa" w:w="60"/>
              <w:left w:type="dxa" w:w="100"/>
              <w:bottom w:type="dxa" w:w="60"/>
              <w:right w:type="dxa" w:w="100"/>
            </w:tcMar>
          </w:tcPr>
          <w:p>
            <w:pPr>
              <w:spacing w:after="0"/>
              <w:jc w:val="left"/>
            </w:pPr>
            <w:r>
              <w:rPr>
                <w:b w:val="false"/>
                <w:bCs w:val="false"/>
              </w:rPr>
              <w:t xml:space="preserve">The performance metrics recorded by Look What I Found! are valid indicators of initiating joint attention (IJA).</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39</w:t>
            </w:r>
          </w:p>
        </w:tc>
        <w:tc>
          <w:tcPr>
            <w:tcW w:type="dxa" w:w="5266"/>
            <w:tcMar>
              <w:top w:type="dxa" w:w="60"/>
              <w:left w:type="dxa" w:w="100"/>
              <w:bottom w:type="dxa" w:w="60"/>
              <w:right w:type="dxa" w:w="100"/>
            </w:tcMar>
          </w:tcPr>
          <w:p>
            <w:pPr>
              <w:spacing w:after="0"/>
              <w:jc w:val="left"/>
            </w:pPr>
            <w:r>
              <w:rPr>
                <w:b w:val="false"/>
                <w:bCs w:val="false"/>
              </w:rPr>
              <w:t xml:space="preserve">The 360° VR build of Look What I Found! preserves the target construct while remaining safe and comfortable for this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1"/>
        <w:spacing w:after="140" w:before="280"/>
      </w:pPr>
      <w:r>
        <w:t xml:space="preserve">Section E — Cross-cutting appropriateness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266"/>
        <w:gridCol w:w="800"/>
        <w:gridCol w:w="800"/>
        <w:gridCol w:w="800"/>
        <w:gridCol w:w="800"/>
      </w:tblGrid>
      <w:tr>
        <w:trPr>
          <w:tblHeader/>
        </w:trPr>
        <w:tc>
          <w:tcPr>
            <w:tcW w:type="dxa" w:w="560"/>
            <w:shd w:fill="E8EEF7" w:val="clear"/>
            <w:tcMar>
              <w:top w:type="dxa" w:w="60"/>
              <w:left w:type="dxa" w:w="100"/>
              <w:bottom w:type="dxa" w:w="60"/>
              <w:right w:type="dxa" w:w="100"/>
            </w:tcMar>
          </w:tcPr>
          <w:p>
            <w:pPr>
              <w:spacing w:after="0"/>
              <w:jc w:val="center"/>
            </w:pPr>
            <w:r>
              <w:rPr>
                <w:b/>
                <w:bCs/>
              </w:rPr>
              <w:t xml:space="preserve">#</w:t>
            </w:r>
          </w:p>
        </w:tc>
        <w:tc>
          <w:tcPr>
            <w:tcW w:type="dxa" w:w="5266"/>
            <w:shd w:fill="E8EEF7" w:val="clear"/>
            <w:tcMar>
              <w:top w:type="dxa" w:w="60"/>
              <w:left w:type="dxa" w:w="100"/>
              <w:bottom w:type="dxa" w:w="60"/>
              <w:right w:type="dxa" w:w="100"/>
            </w:tcMar>
          </w:tcPr>
          <w:p>
            <w:pPr>
              <w:spacing w:after="0"/>
              <w:jc w:val="left"/>
            </w:pPr>
            <w:r>
              <w:rPr>
                <w:b/>
                <w:bCs/>
              </w:rPr>
              <w:t xml:space="preserve">Item</w:t>
            </w:r>
          </w:p>
        </w:tc>
        <w:tc>
          <w:tcPr>
            <w:tcW w:type="dxa" w:w="800"/>
            <w:shd w:fill="E8EEF7" w:val="clear"/>
            <w:tcMar>
              <w:top w:type="dxa" w:w="60"/>
              <w:left w:type="dxa" w:w="100"/>
              <w:bottom w:type="dxa" w:w="60"/>
              <w:right w:type="dxa" w:w="100"/>
            </w:tcMar>
          </w:tcPr>
          <w:p>
            <w:pPr>
              <w:spacing w:after="0"/>
              <w:jc w:val="center"/>
            </w:pPr>
            <w:r>
              <w:rPr>
                <w:b/>
                <w:bCs/>
              </w:rPr>
              <w:t xml:space="preserve">1</w:t>
            </w:r>
          </w:p>
        </w:tc>
        <w:tc>
          <w:tcPr>
            <w:tcW w:type="dxa" w:w="800"/>
            <w:shd w:fill="E8EEF7" w:val="clear"/>
            <w:tcMar>
              <w:top w:type="dxa" w:w="60"/>
              <w:left w:type="dxa" w:w="100"/>
              <w:bottom w:type="dxa" w:w="60"/>
              <w:right w:type="dxa" w:w="100"/>
            </w:tcMar>
          </w:tcPr>
          <w:p>
            <w:pPr>
              <w:spacing w:after="0"/>
              <w:jc w:val="center"/>
            </w:pPr>
            <w:r>
              <w:rPr>
                <w:b/>
                <w:bCs/>
              </w:rPr>
              <w:t xml:space="preserve">2</w:t>
            </w:r>
          </w:p>
        </w:tc>
        <w:tc>
          <w:tcPr>
            <w:tcW w:type="dxa" w:w="800"/>
            <w:shd w:fill="E8EEF7" w:val="clear"/>
            <w:tcMar>
              <w:top w:type="dxa" w:w="60"/>
              <w:left w:type="dxa" w:w="100"/>
              <w:bottom w:type="dxa" w:w="60"/>
              <w:right w:type="dxa" w:w="100"/>
            </w:tcMar>
          </w:tcPr>
          <w:p>
            <w:pPr>
              <w:spacing w:after="0"/>
              <w:jc w:val="center"/>
            </w:pPr>
            <w:r>
              <w:rPr>
                <w:b/>
                <w:bCs/>
              </w:rPr>
              <w:t xml:space="preserve">3</w:t>
            </w:r>
          </w:p>
        </w:tc>
        <w:tc>
          <w:tcPr>
            <w:tcW w:type="dxa" w:w="800"/>
            <w:shd w:fill="E8EEF7" w:val="clear"/>
            <w:tcMar>
              <w:top w:type="dxa" w:w="60"/>
              <w:left w:type="dxa" w:w="100"/>
              <w:bottom w:type="dxa" w:w="60"/>
              <w:right w:type="dxa" w:w="100"/>
            </w:tcMar>
          </w:tcPr>
          <w:p>
            <w:pPr>
              <w:spacing w:after="0"/>
              <w:jc w:val="center"/>
            </w:pPr>
            <w:r>
              <w:rPr>
                <w:b/>
                <w:bCs/>
              </w:rPr>
              <w:t xml:space="preserve">4</w:t>
            </w:r>
          </w:p>
        </w:tc>
      </w:tr>
      <w:tr>
        <w:tc>
          <w:tcPr>
            <w:tcW w:type="dxa" w:w="560"/>
            <w:tcMar>
              <w:top w:type="dxa" w:w="60"/>
              <w:left w:type="dxa" w:w="100"/>
              <w:bottom w:type="dxa" w:w="60"/>
              <w:right w:type="dxa" w:w="100"/>
            </w:tcMar>
          </w:tcPr>
          <w:p>
            <w:pPr>
              <w:spacing w:after="0"/>
              <w:jc w:val="center"/>
            </w:pPr>
            <w:r>
              <w:rPr>
                <w:b w:val="false"/>
                <w:bCs w:val="false"/>
              </w:rPr>
              <w:t xml:space="preserve">40</w:t>
            </w:r>
          </w:p>
        </w:tc>
        <w:tc>
          <w:tcPr>
            <w:tcW w:type="dxa" w:w="5266"/>
            <w:tcMar>
              <w:top w:type="dxa" w:w="60"/>
              <w:left w:type="dxa" w:w="100"/>
              <w:bottom w:type="dxa" w:w="60"/>
              <w:right w:type="dxa" w:w="100"/>
            </w:tcMar>
          </w:tcPr>
          <w:p>
            <w:pPr>
              <w:spacing w:after="0"/>
              <w:jc w:val="left"/>
            </w:pPr>
            <w:r>
              <w:rPr>
                <w:b w:val="false"/>
                <w:bCs w:val="false"/>
              </w:rPr>
              <w:t xml:space="preserve">The Malayalam-first, tri-modal answer format (spoken + printed + pictogram) is appropriate for the target population.</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41</w:t>
            </w:r>
          </w:p>
        </w:tc>
        <w:tc>
          <w:tcPr>
            <w:tcW w:type="dxa" w:w="5266"/>
            <w:tcMar>
              <w:top w:type="dxa" w:w="60"/>
              <w:left w:type="dxa" w:w="100"/>
              <w:bottom w:type="dxa" w:w="60"/>
              <w:right w:type="dxa" w:w="100"/>
            </w:tcMar>
          </w:tcPr>
          <w:p>
            <w:pPr>
              <w:spacing w:after="0"/>
              <w:jc w:val="left"/>
            </w:pPr>
            <w:r>
              <w:rPr>
                <w:b w:val="false"/>
                <w:bCs w:val="false"/>
              </w:rPr>
              <w:t xml:space="preserve">The social scenarios and settings are culturally appropriate for children in Kerala.</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42</w:t>
            </w:r>
          </w:p>
        </w:tc>
        <w:tc>
          <w:tcPr>
            <w:tcW w:type="dxa" w:w="5266"/>
            <w:tcMar>
              <w:top w:type="dxa" w:w="60"/>
              <w:left w:type="dxa" w:w="100"/>
              <w:bottom w:type="dxa" w:w="60"/>
              <w:right w:type="dxa" w:w="100"/>
            </w:tcMar>
          </w:tcPr>
          <w:p>
            <w:pPr>
              <w:spacing w:after="0"/>
              <w:jc w:val="left"/>
            </w:pPr>
            <w:r>
              <w:rPr>
                <w:b w:val="false"/>
                <w:bCs w:val="false"/>
              </w:rPr>
              <w:t xml:space="preserve">The overall visual and interaction design is appropriate for autistic children (low clutter, predictable structure, gentle feedback).</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43</w:t>
            </w:r>
          </w:p>
        </w:tc>
        <w:tc>
          <w:tcPr>
            <w:tcW w:type="dxa" w:w="5266"/>
            <w:tcMar>
              <w:top w:type="dxa" w:w="60"/>
              <w:left w:type="dxa" w:w="100"/>
              <w:bottom w:type="dxa" w:w="60"/>
              <w:right w:type="dxa" w:w="100"/>
            </w:tcMar>
          </w:tcPr>
          <w:p>
            <w:pPr>
              <w:spacing w:after="0"/>
              <w:jc w:val="left"/>
            </w:pPr>
            <w:r>
              <w:rPr>
                <w:b w:val="false"/>
                <w:bCs w:val="false"/>
              </w:rPr>
              <w:t xml:space="preserve">The age range 7–15 is appropriate for the tasks as designed, given the difficulty progressions described.</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44</w:t>
            </w:r>
          </w:p>
        </w:tc>
        <w:tc>
          <w:tcPr>
            <w:tcW w:type="dxa" w:w="5266"/>
            <w:tcMar>
              <w:top w:type="dxa" w:w="60"/>
              <w:left w:type="dxa" w:w="100"/>
              <w:bottom w:type="dxa" w:w="60"/>
              <w:right w:type="dxa" w:w="100"/>
            </w:tcMar>
          </w:tcPr>
          <w:p>
            <w:pPr>
              <w:spacing w:after="0"/>
              <w:jc w:val="left"/>
            </w:pPr>
            <w:r>
              <w:rPr>
                <w:b w:val="false"/>
                <w:bCs w:val="false"/>
              </w:rPr>
              <w:t xml:space="preserve">The VR comfort and safety provisions (frontal-arc content, no artificial locomotion, short supervised sessions, removal on discomfort) are adequate.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45</w:t>
            </w:r>
          </w:p>
        </w:tc>
        <w:tc>
          <w:tcPr>
            <w:tcW w:type="dxa" w:w="5266"/>
            <w:tcMar>
              <w:top w:type="dxa" w:w="60"/>
              <w:left w:type="dxa" w:w="100"/>
              <w:bottom w:type="dxa" w:w="60"/>
              <w:right w:type="dxa" w:w="100"/>
            </w:tcMar>
          </w:tcPr>
          <w:p>
            <w:pPr>
              <w:spacing w:after="0"/>
              <w:jc w:val="left"/>
            </w:pPr>
            <w:r>
              <w:rPr>
                <w:b w:val="false"/>
                <w:bCs w:val="false"/>
              </w:rPr>
              <w:t xml:space="preserve">The in-game performance metrics, taken together, form an adequate measurement plan for monitoring progress.</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46</w:t>
            </w:r>
          </w:p>
        </w:tc>
        <w:tc>
          <w:tcPr>
            <w:tcW w:type="dxa" w:w="5266"/>
            <w:tcMar>
              <w:top w:type="dxa" w:w="60"/>
              <w:left w:type="dxa" w:w="100"/>
              <w:bottom w:type="dxa" w:w="60"/>
              <w:right w:type="dxa" w:w="100"/>
            </w:tcMar>
          </w:tcPr>
          <w:p>
            <w:pPr>
              <w:spacing w:after="0"/>
              <w:jc w:val="left"/>
            </w:pPr>
            <w:r>
              <w:rPr>
                <w:b w:val="false"/>
                <w:bCs w:val="false"/>
              </w:rPr>
              <w:t xml:space="preserve">The external pre/post battery (near-transfer tests with parallel forms, blinding and a non-social control task) is an appropriate way to evaluate outcomes.</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560"/>
            <w:tcMar>
              <w:top w:type="dxa" w:w="60"/>
              <w:left w:type="dxa" w:w="100"/>
              <w:bottom w:type="dxa" w:w="60"/>
              <w:right w:type="dxa" w:w="100"/>
            </w:tcMar>
          </w:tcPr>
          <w:p>
            <w:pPr>
              <w:spacing w:after="0"/>
              <w:jc w:val="center"/>
            </w:pPr>
            <w:r>
              <w:rPr>
                <w:b w:val="false"/>
                <w:bCs w:val="false"/>
              </w:rPr>
              <w:t xml:space="preserve">47</w:t>
            </w:r>
          </w:p>
        </w:tc>
        <w:tc>
          <w:tcPr>
            <w:tcW w:type="dxa" w:w="5266"/>
            <w:tcMar>
              <w:top w:type="dxa" w:w="60"/>
              <w:left w:type="dxa" w:w="100"/>
              <w:bottom w:type="dxa" w:w="60"/>
              <w:right w:type="dxa" w:w="100"/>
            </w:tcMar>
          </w:tcPr>
          <w:p>
            <w:pPr>
              <w:spacing w:after="0"/>
              <w:jc w:val="left"/>
            </w:pPr>
            <w:r>
              <w:rPr>
                <w:b w:val="false"/>
                <w:bCs w:val="false"/>
              </w:rPr>
              <w:t xml:space="preserve">Overall, the six games constitute a content-valid intervention for the three stated skill domains.</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c>
          <w:tcPr>
            <w:tcW w:type="dxa" w:w="800"/>
            <w:tcMar>
              <w:top w:type="dxa" w:w="60"/>
              <w:left w:type="dxa" w:w="100"/>
              <w:bottom w:type="dxa" w:w="60"/>
              <w:right w:type="dxa" w:w="100"/>
            </w:tcMar>
          </w:tcPr>
          <w:p>
            <w:pPr>
              <w:spacing w:after="0"/>
              <w:jc w:val="center"/>
            </w:pPr>
            <w:r>
              <w:rPr>
                <w:b w:val="false"/>
                <w:bCs w:val="false"/>
              </w:rPr>
              <w:t xml:space="preserve">☐</w:t>
            </w:r>
          </w:p>
        </w:tc>
      </w:tr>
      <w:tr>
        <w:tc>
          <w:tcPr>
            <w:tcW w:type="dxa" w:w="9026"/>
            <w:gridSpan w:val="6"/>
            <w:tcMar>
              <w:top w:type="dxa" w:w="60"/>
              <w:left w:type="dxa" w:w="100"/>
              <w:bottom w:type="dxa" w:w="60"/>
              <w:right w:type="dxa" w:w="100"/>
            </w:tcMar>
          </w:tcPr>
          <w:p>
            <w:pPr>
              <w:spacing w:after="400"/>
            </w:pPr>
            <w:r>
              <w:rPr>
                <w:i/>
                <w:iCs/>
              </w:rPr>
              <w:t xml:space="preserve">Comments / suggested revisions:</w:t>
            </w:r>
          </w:p>
        </w:tc>
      </w:tr>
    </w:tbl>
    <w:p>
      <w:pPr>
        <w:pStyle w:val="Heading1"/>
        <w:spacing w:after="140" w:before="280"/>
      </w:pPr>
      <w:r>
        <w:t xml:space="preserve">Open feedback</w:t>
      </w:r>
    </w:p>
    <w:p>
      <w:pPr>
        <w:spacing w:after="120"/>
      </w:pPr>
      <w:r>
        <w:t xml:space="preserve">1. Are there elements you would remove or substantially redesign? Why?</w:t>
      </w:r>
    </w:p>
    <w:p>
      <w:pPr>
        <w:spacing w:after="120"/>
      </w:pPr>
      <w:r>
        <w:t xml:space="preserve"/>
      </w:r>
    </w:p>
    <w:p>
      <w:pPr>
        <w:spacing w:after="120"/>
      </w:pPr>
      <w:r>
        <w:t xml:space="preserve"/>
      </w:r>
    </w:p>
    <w:p>
      <w:pPr>
        <w:spacing w:after="120"/>
      </w:pPr>
      <w:r>
        <w:t xml:space="preserve"/>
      </w:r>
    </w:p>
    <w:p>
      <w:pPr>
        <w:spacing w:after="120"/>
      </w:pPr>
      <w:r>
        <w:t xml:space="preserve">2. Are there important aspects of any skill domain that the games fail to cover?</w:t>
      </w:r>
    </w:p>
    <w:p>
      <w:pPr>
        <w:spacing w:after="120"/>
      </w:pPr>
      <w:r>
        <w:t xml:space="preserve"/>
      </w:r>
    </w:p>
    <w:p>
      <w:pPr>
        <w:spacing w:after="120"/>
      </w:pPr>
      <w:r>
        <w:t xml:space="preserve"/>
      </w:r>
    </w:p>
    <w:p>
      <w:pPr>
        <w:spacing w:after="120"/>
      </w:pPr>
      <w:r>
        <w:t xml:space="preserve"/>
      </w:r>
    </w:p>
    <w:p>
      <w:pPr>
        <w:spacing w:after="120"/>
      </w:pPr>
      <w:r>
        <w:t xml:space="preserve">3. Any other observations (ethics, safety, culture, measurement, feasibility):</w:t>
      </w:r>
    </w:p>
    <w:p>
      <w:pPr>
        <w:spacing w:after="120"/>
      </w:pPr>
      <w:r>
        <w:t xml:space="preserve"/>
      </w:r>
    </w:p>
    <w:p>
      <w:pPr>
        <w:spacing w:after="120"/>
      </w:pPr>
      <w:r>
        <w:t xml:space="preserve"/>
      </w:r>
    </w:p>
    <w:p>
      <w:pPr>
        <w:spacing w:after="120"/>
      </w:pPr>
      <w:r>
        <w:t xml:space="preserve"/>
      </w:r>
    </w:p>
    <w:p>
      <w:r>
        <w:br w:type="page"/>
      </w:r>
    </w:p>
    <w:p>
      <w:pPr>
        <w:pStyle w:val="Heading1"/>
        <w:spacing w:after="140" w:before="280"/>
      </w:pPr>
      <w:r>
        <w:t xml:space="preserve">For the researcher — CVI scoring (do not complete; for analysis records)</w:t>
      </w:r>
    </w:p>
    <w:p>
      <w:pPr>
        <w:spacing w:after="120"/>
      </w:pPr>
      <w:r>
        <w:t xml:space="preserve">Each item’s Item-level Content Validity Index (I-CVI) = number of experts rating 3 or 4 ÷ total experts (Lynn, 1986).</w:t>
      </w:r>
    </w:p>
    <w:p>
      <w:pPr>
        <w:pStyle w:val="ListParagraph"/>
        <w:numPr>
          <w:ilvl w:val="0"/>
          <w:numId w:val="2"/>
        </w:numPr>
        <w:spacing w:after="80"/>
      </w:pPr>
      <w:r>
        <w:t xml:space="preserve">Panel of 3–5 experts: required I-CVI = 1.00 (unanimous).</w:t>
      </w:r>
    </w:p>
    <w:p>
      <w:pPr>
        <w:pStyle w:val="ListParagraph"/>
        <w:numPr>
          <w:ilvl w:val="0"/>
          <w:numId w:val="2"/>
        </w:numPr>
        <w:spacing w:after="80"/>
      </w:pPr>
      <w:r>
        <w:t xml:space="preserve">Panel of 6–8 experts: required I-CVI ≥ 0.83.</w:t>
      </w:r>
    </w:p>
    <w:p>
      <w:pPr>
        <w:pStyle w:val="ListParagraph"/>
        <w:numPr>
          <w:ilvl w:val="0"/>
          <w:numId w:val="2"/>
        </w:numPr>
        <w:spacing w:after="80"/>
      </w:pPr>
      <w:r>
        <w:t xml:space="preserve">Panel of 9 or more: required I-CVI ≥ 0.78.</w:t>
      </w:r>
    </w:p>
    <w:p>
      <w:pPr>
        <w:spacing w:after="120"/>
      </w:pPr>
      <w:r>
        <w:t xml:space="preserve">Scale-level index S-CVI/Ave = mean of all I-CVIs; the accepted threshold is ≥ 0.90 (Polit &amp; Beck, 2006).</w:t>
      </w:r>
    </w:p>
    <w:p>
      <w:pPr>
        <w:spacing w:after="120"/>
      </w:pPr>
      <w:r>
        <w:t xml:space="preserve">Items below threshold are revised per the written comments and re-submitted to the panel; the revision log records each change against the comment that prompted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2026-07-18T11:32:15.418Z</dcterms:created>
  <dcterms:modified xsi:type="dcterms:W3CDTF">2026-07-18T11:32:15.418Z</dcterms:modified>
</cp:coreProperties>
</file>

<file path=docProps/custom.xml><?xml version="1.0" encoding="utf-8"?>
<Properties xmlns="http://schemas.openxmlformats.org/officeDocument/2006/custom-properties" xmlns:vt="http://schemas.openxmlformats.org/officeDocument/2006/docPropsVTypes"/>
</file>