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rFonts w:ascii="Calibri" w:cs="Calibri" w:eastAsia="Calibri" w:hAnsi="Calibri"/>
          <w:b/>
          <w:bCs/>
          <w:color w:val="0B1F3A"/>
          <w:sz w:val="46"/>
          <w:szCs w:val="46"/>
        </w:rPr>
        <w:t xml:space="preserve">STARTUP VALIDATION REPORT</w:t>
      </w:r>
    </w:p>
    <w:p>
      <w:pPr>
        <w:spacing w:after="100"/>
        <w:jc w:val="center"/>
      </w:pPr>
      <w:r>
        <w:rPr>
          <w:rFonts w:ascii="Calibri" w:cs="Calibri" w:eastAsia="Calibri" w:hAnsi="Calibri"/>
          <w:b/>
          <w:bCs/>
          <w:color w:val="B9862F"/>
          <w:sz w:val="34"/>
          <w:szCs w:val="34"/>
        </w:rPr>
        <w:t xml:space="preserve">CertiVerify AI</w:t>
      </w:r>
    </w:p>
    <w:p>
      <w:pPr>
        <w:spacing w:after="800"/>
        <w:jc w:val="center"/>
      </w:pPr>
      <w:r>
        <w:rPr>
          <w:rFonts w:ascii="Calibri" w:cs="Calibri" w:eastAsia="Calibri" w:hAnsi="Calibri"/>
          <w:i/>
          <w:iCs/>
          <w:color w:val="6B6B6B"/>
          <w:sz w:val="22"/>
          <w:szCs w:val="22"/>
        </w:rPr>
        <w:t xml:space="preserve">AI-Powered Academic &amp; Professional Certificate Verification Platform</w:t>
      </w:r>
    </w:p>
    <w:tbl>
      <w:tblPr>
        <w:tblW w:type="pct" w:w="70%"/>
        <w:jc w:val="center"/>
        <w:tblBorders>
          <w:top w:val="single" w:color="B9862F" w:sz="4"/>
          <w:left w:val="single" w:color="B9862F" w:sz="4"/>
          <w:bottom w:val="single" w:color="B9862F" w:sz="4"/>
          <w:right w:val="single" w:color="B9862F" w:sz="4"/>
          <w:insideH w:val="single" w:color="B9862F" w:sz="4"/>
          <w:insideV w:val="single" w:color="B9862F" w:sz="4"/>
        </w:tblBorders>
      </w:tblPr>
      <w:tblGrid>
        <w:gridCol w:w="100"/>
        <w:gridCol w:w="100"/>
      </w:tblGrid>
      <w:tr>
        <w:tc>
          <w:tcPr>
            <w:tcW w:type="dxa" w:w="3000"/>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Prepared For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Founder / Applicant</w:t>
            </w:r>
          </w:p>
        </w:tc>
      </w:tr>
      <w:tr>
        <w:tc>
          <w:tcPr>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Sector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EdTech · RegTech · AI/ML · SaaS</w:t>
            </w:r>
          </w:p>
        </w:tc>
      </w:tr>
      <w:tr>
        <w:tc>
          <w:tcPr>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Geography</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India (Phase 1) → Global (Phase 2)</w:t>
            </w:r>
          </w:p>
        </w:tc>
      </w:tr>
      <w:tr>
        <w:tc>
          <w:tcPr>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Stage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Prototype / Pre-Seed</w:t>
            </w:r>
          </w:p>
        </w:tc>
      </w:tr>
      <w:tr>
        <w:tc>
          <w:tcPr>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Report Date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20 July 2026</w:t>
            </w:r>
          </w:p>
        </w:tc>
      </w:tr>
      <w:tr>
        <w:tc>
          <w:tcPr>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Prepared By</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Independent Startup Advisory &amp; Market Research Analysis</w:t>
            </w:r>
          </w:p>
        </w:tc>
      </w:tr>
    </w:tbl>
    <w:p>
      <w:pPr>
        <w:spacing w:after="1200"/>
      </w:pPr>
    </w:p>
    <w:p>
      <w:pPr>
        <w:jc w:val="center"/>
      </w:pPr>
      <w:r>
        <w:rPr>
          <w:rFonts w:ascii="Calibri" w:cs="Calibri" w:eastAsia="Calibri" w:hAnsi="Calibri"/>
          <w:i/>
          <w:iCs/>
          <w:color w:val="6B6B6B"/>
          <w:sz w:val="17"/>
          <w:szCs w:val="17"/>
        </w:rPr>
        <w:t xml:space="preserve">CONFIDENTIAL — Prepared for internal founder use, investor conversations, and accelerator applications.</w:t>
      </w:r>
    </w:p>
    <w:p>
      <w:pPr>
        <w:sectPr>
          <w:pgSz w:w="12240" w:h="15840" w:orient="portrait"/>
          <w:pgMar w:top="1000" w:right="1100" w:bottom="1000" w:left="1100" w:header="708" w:footer="708" w:gutter="0"/>
          <w:pgNumType/>
          <w:docGrid w:linePitch="360"/>
        </w:sectPr>
      </w:pPr>
    </w:p>
    <w:p>
      <w:pPr>
        <w:pStyle w:val="Heading1"/>
        <w:pBdr>
          <w:bottom w:val="single" w:color="B9862F" w:sz="8" w:space="4"/>
        </w:pBdr>
        <w:spacing w:after="180" w:before="420"/>
      </w:pPr>
      <w:r>
        <w:rPr>
          <w:rFonts w:ascii="Calibri" w:cs="Calibri" w:eastAsia="Calibri" w:hAnsi="Calibri"/>
          <w:b/>
          <w:bCs/>
          <w:color w:val="0B1F3A"/>
          <w:sz w:val="30"/>
          <w:szCs w:val="30"/>
        </w:rPr>
        <w:t xml:space="preserve">1. Executive Summary</w:t>
      </w:r>
    </w:p>
    <w:p>
      <w:pPr>
        <w:spacing w:after="140" w:line="288"/>
        <w:jc w:val="both"/>
      </w:pPr>
      <w:r>
        <w:rPr>
          <w:rFonts w:ascii="Calibri" w:cs="Calibri" w:eastAsia="Calibri" w:hAnsi="Calibri"/>
          <w:b w:val="false"/>
          <w:bCs w:val="false"/>
          <w:i w:val="false"/>
          <w:iCs w:val="false"/>
          <w:color w:val="3A3A3A"/>
          <w:sz w:val="21"/>
          <w:szCs w:val="21"/>
        </w:rPr>
        <w:t xml:space="preserve">CertiVerify AI is an AI-powered platform that uses machine learning, optical character recognition (OCR), and digital cross-verification to detect fake, forged, or tampered academic and professional certificates. It targets universities, colleges, corporate HR/recruitment teams, staffing agencies, government bodies, and online learning platforms that need to verify document authenticity quickly and at scale.</w:t>
      </w:r>
    </w:p>
    <w:p>
      <w:pPr>
        <w:spacing w:after="140" w:line="288"/>
        <w:jc w:val="both"/>
      </w:pPr>
      <w:r>
        <w:rPr>
          <w:rFonts w:ascii="Calibri" w:cs="Calibri" w:eastAsia="Calibri" w:hAnsi="Calibri"/>
          <w:b w:val="false"/>
          <w:bCs w:val="false"/>
          <w:i w:val="false"/>
          <w:iCs w:val="false"/>
          <w:color w:val="3A3A3A"/>
          <w:sz w:val="21"/>
          <w:szCs w:val="21"/>
        </w:rPr>
        <w:t xml:space="preserve">Certificate fraud is a well-documented and growing problem in India, driven by the volume of manual, paper-based verification still in use outside of government-run digital repositories. Independent industry sources report that a large share of resumes submitted in India contain false or misleading information, and background-verification checks routinely surface discrepancies in education credentials — the exact failure mode CertiVerify AI is built to catch.</w:t>
      </w:r>
    </w:p>
    <w:tbl>
      <w:tblPr>
        <w:tblW w:type="pct" w:w="100%"/>
        <w:tblBorders>
          <w:top w:val="single" w:color="0B1F3A" w:sz="4"/>
          <w:left w:val="single" w:color="0B1F3A" w:sz="4"/>
          <w:bottom w:val="single" w:color="0B1F3A" w:sz="4"/>
          <w:right w:val="single" w:color="0B1F3A" w:sz="4"/>
          <w:insideH w:val="single" w:color="0B1F3A" w:sz="4"/>
          <w:insideV w:val="single" w:color="0B1F3A" w:sz="4"/>
        </w:tblBorders>
      </w:tblPr>
      <w:tblGrid>
        <w:gridCol w:w="100"/>
      </w:tblGrid>
      <w:tr>
        <w:tc>
          <w:tcPr>
            <w:shd w:fill="EDEDED" w:val="clear"/>
            <w:tcMar>
              <w:top w:type="dxa" w:w="160"/>
              <w:left w:type="dxa" w:w="200"/>
              <w:bottom w:type="dxa" w:w="160"/>
              <w:right w:type="dxa" w:w="200"/>
            </w:tcMar>
          </w:tcPr>
          <w:p>
            <w:pPr>
              <w:spacing w:after="60"/>
            </w:pPr>
            <w:r>
              <w:rPr>
                <w:rFonts w:ascii="Calibri" w:cs="Calibri" w:eastAsia="Calibri" w:hAnsi="Calibri"/>
                <w:b/>
                <w:bCs/>
                <w:color w:val="0B1F3A"/>
                <w:sz w:val="20"/>
                <w:szCs w:val="20"/>
              </w:rPr>
              <w:t xml:space="preserve">Overall Verdict</w:t>
            </w:r>
          </w:p>
          <w:p>
            <w:r>
              <w:rPr>
                <w:rFonts w:ascii="Calibri" w:cs="Calibri" w:eastAsia="Calibri" w:hAnsi="Calibri"/>
                <w:color w:val="3A3A3A"/>
                <w:sz w:val="21"/>
                <w:szCs w:val="21"/>
              </w:rPr>
              <w:t xml:space="preserve">CONDITIONAL GO — the problem is real, urgent, and economically painful for institutions and employers, but the founder currently has prototype-stage validation only. The recommended path is a focused 30–90 day pilot-validation sprint (below) before committing to full-time build-out or fundraising.</w:t>
            </w:r>
          </w:p>
        </w:tc>
      </w:tr>
    </w:tbl>
    <w:p>
      <w:pPr>
        <w:spacing w:after="80"/>
      </w:pPr>
    </w:p>
    <w:p>
      <w:pPr>
        <w:spacing w:after="100" w:before="200"/>
      </w:pPr>
      <w:r>
        <w:rPr>
          <w:rFonts w:ascii="Calibri" w:cs="Calibri" w:eastAsia="Calibri" w:hAnsi="Calibri"/>
          <w:b/>
          <w:bCs/>
          <w:color w:val="B9862F"/>
          <w:sz w:val="21"/>
          <w:szCs w:val="21"/>
        </w:rPr>
        <w:t xml:space="preserve">Key Findings at a Glance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4200"/>
        <w:gridCol w:w="2200"/>
      </w:tblGrid>
      <w:tr>
        <w:trPr>
          <w:tblHeader/>
        </w:trPr>
        <w:tc>
          <w:tcPr>
            <w:tcW w:type="dxa" w:w="3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Dimension</w:t>
            </w:r>
          </w:p>
        </w:tc>
        <w:tc>
          <w:tcPr>
            <w:tcW w:type="dxa" w:w="4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Assessment</w:t>
            </w:r>
          </w:p>
        </w:tc>
        <w:tc>
          <w:tcPr>
            <w:tcW w:type="dxa" w:w="2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Signal</w:t>
            </w:r>
          </w:p>
        </w:tc>
      </w:tr>
      <w:tr>
        <w:tc>
          <w:tcPr>
            <w:tcW w:type="dxa" w:w="3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Problem Severity</w:t>
            </w:r>
          </w:p>
        </w:tc>
        <w:tc>
          <w:tcPr>
            <w:tcW w:type="dxa" w:w="4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 — fraud detection is a recurring, budgeted pain point for HR and admissions teams</w:t>
            </w:r>
          </w:p>
        </w:tc>
        <w:tc>
          <w:tcPr>
            <w:tcW w:type="dxa" w:w="2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Strong</w:t>
            </w:r>
          </w:p>
        </w:tc>
      </w:tr>
      <w:tr>
        <w:tc>
          <w:tcPr>
            <w:tcW w:type="dxa" w:w="3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Market Size (India SAM)</w:t>
            </w:r>
          </w:p>
        </w:tc>
        <w:tc>
          <w:tcPr>
            <w:tcW w:type="dxa" w:w="4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US$422M (2024), growing to ≈ US$1.48B by 2032 (15.8% CAGR)</w:t>
            </w:r>
          </w:p>
        </w:tc>
        <w:tc>
          <w:tcPr>
            <w:tcW w:type="dxa" w:w="2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Strong</w:t>
            </w:r>
          </w:p>
        </w:tc>
      </w:tr>
      <w:tr>
        <w:tc>
          <w:tcPr>
            <w:tcW w:type="dxa" w:w="3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Competitive Intensity</w:t>
            </w:r>
          </w:p>
        </w:tc>
        <w:tc>
          <w:tcPr>
            <w:tcW w:type="dxa" w:w="4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Moderate-High — government infra (DigiLocker/NAD) + established BGV incumbents</w:t>
            </w:r>
          </w:p>
        </w:tc>
        <w:tc>
          <w:tcPr>
            <w:tcW w:type="dxa" w:w="2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Caution</w:t>
            </w:r>
          </w:p>
        </w:tc>
      </w:tr>
      <w:tr>
        <w:tc>
          <w:tcPr>
            <w:tcW w:type="dxa" w:w="3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Current Validation</w:t>
            </w:r>
          </w:p>
        </w:tc>
        <w:tc>
          <w:tcPr>
            <w:tcW w:type="dxa" w:w="4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Prototype + informal faculty/student feedback only; no paying pilot yet</w:t>
            </w:r>
          </w:p>
        </w:tc>
        <w:tc>
          <w:tcPr>
            <w:tcW w:type="dxa" w:w="2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Weak</w:t>
            </w:r>
          </w:p>
        </w:tc>
      </w:tr>
      <w:tr>
        <w:tc>
          <w:tcPr>
            <w:tcW w:type="dxa" w:w="3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Founder-Market Fit</w:t>
            </w:r>
          </w:p>
        </w:tc>
        <w:tc>
          <w:tcPr>
            <w:tcW w:type="dxa" w:w="4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6.3 / 10 — strong technical/domain fit, limited industry network and GTM experience</w:t>
            </w:r>
          </w:p>
        </w:tc>
        <w:tc>
          <w:tcPr>
            <w:tcW w:type="dxa" w:w="2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Moderate</w:t>
            </w:r>
          </w:p>
        </w:tc>
      </w:tr>
    </w:tbl>
    <w:p>
      <w:pPr>
        <w:spacing w:after="120"/>
      </w:pPr>
    </w:p>
    <w:p>
      <w:pPr>
        <w:spacing w:after="140" w:line="288"/>
        <w:jc w:val="both"/>
      </w:pPr>
      <w:r>
        <w:rPr>
          <w:rFonts w:ascii="Calibri" w:cs="Calibri" w:eastAsia="Calibri" w:hAnsi="Calibri"/>
          <w:b w:val="false"/>
          <w:bCs w:val="false"/>
          <w:i w:val="false"/>
          <w:iCs w:val="false"/>
          <w:color w:val="3A3A3A"/>
          <w:sz w:val="21"/>
          <w:szCs w:val="21"/>
        </w:rPr>
        <w:t xml:space="preserve">The core opportunity is not to replace government infrastructure such as DigiLocker/National Academic Depository (NAD), but to fill the large gap it leaves open: verifying certificates from institutions and years not yet digitised on NAD, physical/scanned documents submitted directly to employers, and cross-checking against tampering signatures using computer vision — something NAD's consent-based digital-copy model does not do. This positions CertiVerify AI as a complementary layer, not a head-on competitor to government rails.</w:t>
      </w:r>
    </w:p>
    <w:p>
      <w:pPr>
        <w:pStyle w:val="Heading1"/>
        <w:pBdr>
          <w:bottom w:val="single" w:color="B9862F" w:sz="8" w:space="4"/>
        </w:pBdr>
        <w:spacing w:after="180" w:before="420"/>
      </w:pPr>
      <w:r>
        <w:rPr>
          <w:rFonts w:ascii="Calibri" w:cs="Calibri" w:eastAsia="Calibri" w:hAnsi="Calibri"/>
          <w:b/>
          <w:bCs/>
          <w:color w:val="0B1F3A"/>
          <w:sz w:val="30"/>
          <w:szCs w:val="30"/>
        </w:rPr>
        <w:t xml:space="preserve">2. Problem Validation</w:t>
      </w:r>
    </w:p>
    <w:p>
      <w:pPr>
        <w:pStyle w:val="Heading2"/>
        <w:spacing w:after="120" w:before="300"/>
      </w:pPr>
      <w:r>
        <w:rPr>
          <w:rFonts w:ascii="Calibri" w:cs="Calibri" w:eastAsia="Calibri" w:hAnsi="Calibri"/>
          <w:b/>
          <w:bCs/>
          <w:color w:val="16335C"/>
          <w:sz w:val="24"/>
          <w:szCs w:val="24"/>
        </w:rPr>
        <w:t xml:space="preserve">2.1 Is the Problem Real?</w:t>
      </w:r>
    </w:p>
    <w:p>
      <w:pPr>
        <w:spacing w:after="140" w:line="288"/>
        <w:jc w:val="both"/>
      </w:pPr>
      <w:r>
        <w:rPr>
          <w:rFonts w:ascii="Calibri" w:cs="Calibri" w:eastAsia="Calibri" w:hAnsi="Calibri"/>
          <w:b w:val="false"/>
          <w:bCs w:val="false"/>
          <w:i w:val="false"/>
          <w:iCs w:val="false"/>
          <w:color w:val="3A3A3A"/>
          <w:sz w:val="21"/>
          <w:szCs w:val="21"/>
        </w:rPr>
        <w:t xml:space="preserve">Yes, and it is measurable. Certificate and resume fraud is one of the most cited failure points in Indian hiring and admissions workflows:</w:t>
      </w:r>
    </w:p>
    <w:p>
      <w:pPr>
        <w:pStyle w:val="ListParagraph"/>
        <w:numPr>
          <w:ilvl w:val="0"/>
          <w:numId w:val="2"/>
        </w:numPr>
        <w:spacing w:after="80"/>
      </w:pPr>
      <w:r>
        <w:rPr>
          <w:rFonts w:ascii="Calibri" w:cs="Calibri" w:eastAsia="Calibri" w:hAnsi="Calibri"/>
          <w:color w:val="3A3A3A"/>
          <w:sz w:val="21"/>
          <w:szCs w:val="21"/>
        </w:rPr>
        <w:t xml:space="preserve">Independent HR-industry data indicates that a large proportion of candidates admit to lying or exaggerating details on their resumes, and roughly 1 in 4 background checks reveal discrepancies specifically in education, employment, or identity details.</w:t>
      </w:r>
    </w:p>
    <w:p>
      <w:pPr>
        <w:pStyle w:val="ListParagraph"/>
        <w:numPr>
          <w:ilvl w:val="0"/>
          <w:numId w:val="2"/>
        </w:numPr>
        <w:spacing w:after="80"/>
      </w:pPr>
      <w:r>
        <w:rPr>
          <w:rFonts w:ascii="Calibri" w:cs="Calibri" w:eastAsia="Calibri" w:hAnsi="Calibri"/>
          <w:color w:val="3A3A3A"/>
          <w:sz w:val="21"/>
          <w:szCs w:val="21"/>
        </w:rPr>
        <w:t xml:space="preserve">India's Primary Source Verification (PSV) market was valued at ≈US$422 million in 2024 (up from ≈US$227 million in 2018) and is forecast to reach ≈US$1.48 billion by 2032 — direct evidence that organisations are actively paying to solve this problem today.</w:t>
      </w:r>
    </w:p>
    <w:p>
      <w:pPr>
        <w:pStyle w:val="ListParagraph"/>
        <w:numPr>
          <w:ilvl w:val="0"/>
          <w:numId w:val="2"/>
        </w:numPr>
        <w:spacing w:after="80"/>
      </w:pPr>
      <w:r>
        <w:rPr>
          <w:rFonts w:ascii="Calibri" w:cs="Calibri" w:eastAsia="Calibri" w:hAnsi="Calibri"/>
          <w:color w:val="3A3A3A"/>
          <w:sz w:val="21"/>
          <w:szCs w:val="21"/>
        </w:rPr>
        <w:t xml:space="preserve">Government initiatives (DigiLocker, NAD, Academic Bank of Credits/APAAR) confirm the problem is significant enough to warrant national infrastructure — but adoption is institution-led and opt-in, leaving a long tail of colleges, older graduation years, and non-participating boards unverifiable through official rails.</w:t>
      </w:r>
    </w:p>
    <w:p>
      <w:pPr>
        <w:pStyle w:val="Heading2"/>
        <w:spacing w:after="120" w:before="300"/>
      </w:pPr>
      <w:r>
        <w:rPr>
          <w:rFonts w:ascii="Calibri" w:cs="Calibri" w:eastAsia="Calibri" w:hAnsi="Calibri"/>
          <w:b/>
          <w:bCs/>
          <w:color w:val="16335C"/>
          <w:sz w:val="24"/>
          <w:szCs w:val="24"/>
        </w:rPr>
        <w:t xml:space="preserve">2.2 Evidence Strength Assessment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4000"/>
        <w:gridCol w:w="4200"/>
        <w:gridCol w:w="2400"/>
      </w:tblGrid>
      <w:tr>
        <w:trPr>
          <w:tblHeader/>
        </w:trPr>
        <w:tc>
          <w:tcPr>
            <w:tcW w:type="dxa" w:w="4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Evidence Type</w:t>
            </w:r>
          </w:p>
        </w:tc>
        <w:tc>
          <w:tcPr>
            <w:tcW w:type="dxa" w:w="4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Status</w:t>
            </w:r>
          </w:p>
        </w:tc>
        <w:tc>
          <w:tcPr>
            <w:tcW w:type="dxa" w:w="2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Strength</w:t>
            </w:r>
          </w:p>
        </w:tc>
      </w:tr>
      <w:tr>
        <w:tc>
          <w:tcPr>
            <w:tcW w:type="dxa" w:w="40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Third-party market data</w:t>
            </w:r>
          </w:p>
        </w:tc>
        <w:tc>
          <w:tcPr>
            <w:tcW w:type="dxa" w:w="4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Confirmed — PSV/BGV market sizing and growth data available</w:t>
            </w:r>
          </w:p>
        </w:tc>
        <w:tc>
          <w:tcPr>
            <w:tcW w:type="dxa" w:w="24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Strong</w:t>
            </w:r>
          </w:p>
        </w:tc>
      </w:tr>
      <w:tr>
        <w:tc>
          <w:tcPr>
            <w:tcW w:type="dxa" w:w="40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Regulatory/government signal</w:t>
            </w:r>
          </w:p>
        </w:tc>
        <w:tc>
          <w:tcPr>
            <w:tcW w:type="dxa" w:w="4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Confirmed — DPDP Act 2023 compliance pressure + NAD mandate</w:t>
            </w:r>
          </w:p>
        </w:tc>
        <w:tc>
          <w:tcPr>
            <w:tcW w:type="dxa" w:w="24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Strong</w:t>
            </w:r>
          </w:p>
        </w:tc>
      </w:tr>
      <w:tr>
        <w:tc>
          <w:tcPr>
            <w:tcW w:type="dxa" w:w="40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Direct customer interviews</w:t>
            </w:r>
          </w:p>
        </w:tc>
        <w:tc>
          <w:tcPr>
            <w:tcW w:type="dxa" w:w="4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Informal only — faculty and student feedback, not institutional buyers</w:t>
            </w:r>
          </w:p>
        </w:tc>
        <w:tc>
          <w:tcPr>
            <w:tcW w:type="dxa" w:w="24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Weak</w:t>
            </w:r>
          </w:p>
        </w:tc>
      </w:tr>
      <w:tr>
        <w:tc>
          <w:tcPr>
            <w:tcW w:type="dxa" w:w="40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Willingness to pay</w:t>
            </w:r>
          </w:p>
        </w:tc>
        <w:tc>
          <w:tcPr>
            <w:tcW w:type="dxa" w:w="4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Not yet tested — no pricing conversations held</w:t>
            </w:r>
          </w:p>
        </w:tc>
        <w:tc>
          <w:tcPr>
            <w:tcW w:type="dxa" w:w="24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Weak</w:t>
            </w:r>
          </w:p>
        </w:tc>
      </w:tr>
      <w:tr>
        <w:tc>
          <w:tcPr>
            <w:tcW w:type="dxa" w:w="40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Pilot / waitlist / LOIs</w:t>
            </w:r>
          </w:p>
        </w:tc>
        <w:tc>
          <w:tcPr>
            <w:tcW w:type="dxa" w:w="4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None yet — planned but not executed</w:t>
            </w:r>
          </w:p>
        </w:tc>
        <w:tc>
          <w:tcPr>
            <w:tcW w:type="dxa" w:w="24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Weak</w:t>
            </w:r>
          </w:p>
        </w:tc>
      </w:tr>
    </w:tbl>
    <w:p>
      <w:pPr>
        <w:spacing w:after="140" w:line="288"/>
        <w:jc w:val="both"/>
      </w:pPr>
      <w:r>
        <w:rPr>
          <w:rFonts w:ascii="Calibri" w:cs="Calibri" w:eastAsia="Calibri" w:hAnsi="Calibri"/>
          <w:b w:val="false"/>
          <w:bCs w:val="false"/>
          <w:i w:val="false"/>
          <w:iCs w:val="false"/>
          <w:color w:val="3A3A3A"/>
          <w:sz w:val="21"/>
          <w:szCs w:val="21"/>
        </w:rPr>
        <w:t xml:space="preserve">Recommendation: the market-level problem is well validated by third-party data; what is missing is buyer-level validation — i.e., confirmation from an actual registrar, TA lead, or HR head that they would pay for this today. Closing this gap is the single highest-leverage activity in the next 30 days (see Section 15).</w:t>
      </w:r>
    </w:p>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3. Founder-Market Fit Score</w:t>
      </w:r>
    </w:p>
    <w:p>
      <w:pPr>
        <w:spacing w:after="140" w:line="288"/>
        <w:jc w:val="both"/>
      </w:pPr>
      <w:r>
        <w:rPr>
          <w:rFonts w:ascii="Calibri" w:cs="Calibri" w:eastAsia="Calibri" w:hAnsi="Calibri"/>
          <w:b w:val="false"/>
          <w:bCs w:val="false"/>
          <w:i w:val="false"/>
          <w:iCs w:val="false"/>
          <w:color w:val="3A3A3A"/>
          <w:sz w:val="21"/>
          <w:szCs w:val="21"/>
        </w:rPr>
        <w:t xml:space="preserve">Founder-market fit measures how well-positioned you personally are to win in this specific market — combining domain relevance, technical capability, network access, and resilience. Scores are out of 10 for each dimension.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400"/>
        <w:gridCol w:w="6800"/>
      </w:tblGrid>
      <w:tr>
        <w:trPr>
          <w:tblHeader/>
        </w:trPr>
        <w:tc>
          <w:tcPr>
            <w:tcW w:type="dxa" w:w="2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Dimension</w:t>
            </w:r>
          </w:p>
        </w:tc>
        <w:tc>
          <w:tcPr>
            <w:tcW w:type="dxa" w:w="1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Score</w:t>
            </w:r>
          </w:p>
        </w:tc>
        <w:tc>
          <w:tcPr>
            <w:tcW w:type="dxa" w:w="6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Domain Knowledge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7 / 10</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AI/Data Science student with direct, self-motivated exposure to the certificate-fraud problem; not yet a domain insider in higher-ed admin or HR compliance.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Technical Capability</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8 / 10</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OCR + ML + verification pipeline is a well-scoped, buildable technical problem well matched to an AI/DS skillset.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Industry Network</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 / 10</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No stated relationships yet with registrars, HR heads, recruitment agencies, or government bodies (NAD/UGC) — the primary gap to close.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Prior Validation Effort</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5 / 10</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Prototype built and informal feedback gathered; pilot testing is planned but not started.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Commitment / Time Horizon</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8 / 10</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Explicitly framed as a startup with SaaS/scale ambition, not a side project — strong stated intent.</w:t>
            </w:r>
          </w:p>
        </w:tc>
      </w:tr>
    </w:tbl>
    <w:p>
      <w:pPr>
        <w:spacing w:after="100"/>
      </w:pPr>
    </w:p>
    <w:p>
      <w:pPr>
        <w:spacing w:after="100" w:before="200"/>
      </w:pPr>
      <w:r>
        <w:rPr>
          <w:rFonts w:ascii="Calibri" w:cs="Calibri" w:eastAsia="Calibri" w:hAnsi="Calibri"/>
          <w:b/>
          <w:bCs/>
          <w:color w:val="B9862F"/>
          <w:sz w:val="21"/>
          <w:szCs w:val="21"/>
        </w:rPr>
        <w:t xml:space="preserve">Composite Founder-Market Fit Score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5500"/>
        <w:gridCol w:w="900"/>
      </w:tblGrid>
      <w:tr>
        <w:tc>
          <w:tcPr>
            <w:tcW w:type="dxa" w:w="2600"/>
            <w:tcMar>
              <w:top w:type="dxa" w:w="60"/>
              <w:left w:type="dxa" w:w="100"/>
              <w:bottom w:type="dxa" w:w="60"/>
              <w:right w:type="dxa" w:w="100"/>
            </w:tcMar>
            <w:vAlign w:val="center"/>
          </w:tcPr>
          <w:p>
            <w:r>
              <w:rPr>
                <w:rFonts w:ascii="Calibri" w:cs="Calibri" w:eastAsia="Calibri" w:hAnsi="Calibri"/>
                <w:b/>
                <w:bCs/>
                <w:color w:val="3A3A3A"/>
                <w:sz w:val="19"/>
                <w:szCs w:val="19"/>
              </w:rPr>
              <w:t xml:space="preserve">Overall Score</w:t>
            </w:r>
          </w:p>
        </w:tc>
        <w:tc>
          <w:tcPr>
            <w:tcW w:type="dxa" w:w="3465"/>
            <w:shd w:fill="B9862F" w:val="clear"/>
          </w:tcPr>
          <w:p>
            <w:r>
              <w:rPr>
                <w:sz w:val="2"/>
                <w:szCs w:val="2"/>
              </w:rPr>
              <w:t xml:space="preserve"/>
            </w:r>
          </w:p>
        </w:tc>
        <w:tc>
          <w:tcPr>
            <w:tcW w:type="dxa" w:w="2035"/>
            <w:shd w:fill="EDEDED" w:val="clear"/>
          </w:tcPr>
          <w:p>
            <w:r>
              <w:rPr>
                <w:sz w:val="2"/>
                <w:szCs w:val="2"/>
              </w:rPr>
              <w:t xml:space="preserve"/>
            </w:r>
          </w:p>
        </w:tc>
        <w:tc>
          <w:tcPr>
            <w:tcW w:type="dxa" w:w="900"/>
            <w:tcMar>
              <w:left w:type="dxa" w:w="100"/>
            </w:tcMar>
            <w:vAlign w:val="center"/>
          </w:tcPr>
          <w:p>
            <w:r>
              <w:rPr>
                <w:rFonts w:ascii="Calibri" w:cs="Calibri" w:eastAsia="Calibri" w:hAnsi="Calibri"/>
                <w:b/>
                <w:bCs/>
                <w:color w:val="0B1F3A"/>
                <w:sz w:val="19"/>
                <w:szCs w:val="19"/>
              </w:rPr>
              <w:t xml:space="preserve">6.3 / 10</w:t>
            </w:r>
          </w:p>
        </w:tc>
      </w:tr>
    </w:tbl>
    <w:p>
      <w:pPr>
        <w:spacing w:after="120"/>
      </w:pPr>
    </w:p>
    <w:tbl>
      <w:tblPr>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BF0D9" w:val="clear"/>
            <w:tcMar>
              <w:top w:type="dxa" w:w="160"/>
              <w:left w:type="dxa" w:w="200"/>
              <w:bottom w:type="dxa" w:w="160"/>
              <w:right w:type="dxa" w:w="200"/>
            </w:tcMar>
          </w:tcPr>
          <w:p>
            <w:pPr>
              <w:spacing w:after="60"/>
            </w:pPr>
            <w:r>
              <w:rPr>
                <w:rFonts w:ascii="Calibri" w:cs="Calibri" w:eastAsia="Calibri" w:hAnsi="Calibri"/>
                <w:b/>
                <w:bCs/>
                <w:color w:val="B8860B"/>
                <w:sz w:val="20"/>
                <w:szCs w:val="20"/>
              </w:rPr>
              <w:t xml:space="preserve">Interpretation</w:t>
            </w:r>
          </w:p>
          <w:p>
            <w:r>
              <w:rPr>
                <w:rFonts w:ascii="Calibri" w:cs="Calibri" w:eastAsia="Calibri" w:hAnsi="Calibri"/>
                <w:color w:val="3A3A3A"/>
                <w:sz w:val="21"/>
                <w:szCs w:val="21"/>
              </w:rPr>
              <w:t xml:space="preserve">A 6.3/10 places you in the “buildable but unproven” band: strong enough technically to create a credible product, but the gap in institutional network and validated willingness-to-pay is the main risk to de-risk before scaling spend or raising capital. Consider recruiting an advisor or co-founder with direct HR-tech, EdTech sales, or government-liaison experience.</w:t>
            </w:r>
          </w:p>
        </w:tc>
      </w:tr>
    </w:tbl>
    <w:p>
      <w:pPr>
        <w:pStyle w:val="Heading1"/>
        <w:pBdr>
          <w:bottom w:val="single" w:color="B9862F" w:sz="8" w:space="4"/>
        </w:pBdr>
        <w:spacing w:after="180" w:before="420"/>
      </w:pPr>
      <w:r>
        <w:rPr>
          <w:rFonts w:ascii="Calibri" w:cs="Calibri" w:eastAsia="Calibri" w:hAnsi="Calibri"/>
          <w:b/>
          <w:bCs/>
          <w:color w:val="0B1F3A"/>
          <w:sz w:val="30"/>
          <w:szCs w:val="30"/>
        </w:rPr>
        <w:t xml:space="preserve">4. TAM, SAM, SOM Analysis</w:t>
      </w:r>
    </w:p>
    <w:p>
      <w:pPr>
        <w:spacing w:after="140" w:line="288"/>
        <w:jc w:val="both"/>
      </w:pPr>
      <w:r>
        <w:rPr>
          <w:rFonts w:ascii="Calibri" w:cs="Calibri" w:eastAsia="Calibri" w:hAnsi="Calibri"/>
          <w:b w:val="false"/>
          <w:bCs w:val="false"/>
          <w:i w:val="false"/>
          <w:iCs w:val="false"/>
          <w:color w:val="3A3A3A"/>
          <w:sz w:val="21"/>
          <w:szCs w:val="21"/>
        </w:rPr>
        <w:t xml:space="preserve">Sizing is anchored to India's Primary Source Verification (PSV) and background-verification (BGV) markets, which are the closest available proxies for AI-driven certificate/document verification demand, supplemented by a global expansion view for TAM.</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800"/>
        <w:gridCol w:w="2400"/>
        <w:gridCol w:w="3800"/>
      </w:tblGrid>
      <w:tr>
        <w:trPr>
          <w:tblHeader/>
        </w:trPr>
        <w:tc>
          <w:tcPr>
            <w:tcW w:type="dxa" w:w="1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Tier</w:t>
            </w:r>
          </w:p>
        </w:tc>
        <w:tc>
          <w:tcPr>
            <w:tcW w:type="dxa" w:w="2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Definition</w:t>
            </w:r>
          </w:p>
        </w:tc>
        <w:tc>
          <w:tcPr>
            <w:tcW w:type="dxa" w:w="2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Estimated Size</w:t>
            </w:r>
          </w:p>
        </w:tc>
        <w:tc>
          <w:tcPr>
            <w:tcW w:type="dxa" w:w="3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Basis</w:t>
            </w:r>
          </w:p>
        </w:tc>
      </w:tr>
      <w:tr>
        <w:tc>
          <w:tcPr>
            <w:tcW w:type="dxa" w:w="1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TAM</w:t>
            </w:r>
          </w:p>
        </w:tc>
        <w:tc>
          <w:tcPr>
            <w:tcW w:type="dxa" w:w="2800"/>
            <w:shd w:fill="0B1F3A" w:val="clear"/>
            <w:tcMar>
              <w:top w:type="dxa" w:w="100"/>
              <w:left w:type="dxa" w:w="120"/>
              <w:bottom w:type="dxa" w:w="100"/>
              <w:right w:type="dxa" w:w="120"/>
            </w:tcMar>
            <w:vAlign w:val="center"/>
          </w:tcPr>
          <w:p>
            <w:pPr>
              <w:jc w:val="left"/>
            </w:pPr>
            <w:r>
              <w:rPr>
                <w:rFonts w:ascii="Calibri" w:cs="Calibri" w:eastAsia="Calibri" w:hAnsi="Calibri"/>
                <w:b w:val="false"/>
                <w:bCs w:val="false"/>
                <w:color w:val="FFFFFF"/>
                <w:sz w:val="19"/>
                <w:szCs w:val="19"/>
              </w:rPr>
              <w:t xml:space="preserve">Global credential &amp; document verification / background-screening market</w:t>
            </w:r>
          </w:p>
        </w:tc>
        <w:tc>
          <w:tcPr>
            <w:tcW w:type="dxa" w:w="2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 US$6–8B (by ~2028)</w:t>
            </w:r>
          </w:p>
        </w:tc>
        <w:tc>
          <w:tcPr>
            <w:tcW w:type="dxa" w:w="3800"/>
            <w:shd w:fill="0B1F3A" w:val="clear"/>
            <w:tcMar>
              <w:top w:type="dxa" w:w="100"/>
              <w:left w:type="dxa" w:w="120"/>
              <w:bottom w:type="dxa" w:w="100"/>
              <w:right w:type="dxa" w:w="120"/>
            </w:tcMar>
            <w:vAlign w:val="center"/>
          </w:tcPr>
          <w:p>
            <w:pPr>
              <w:jc w:val="left"/>
            </w:pPr>
            <w:r>
              <w:rPr>
                <w:rFonts w:ascii="Calibri" w:cs="Calibri" w:eastAsia="Calibri" w:hAnsi="Calibri"/>
                <w:b w:val="false"/>
                <w:bCs w:val="false"/>
                <w:color w:val="FFFFFF"/>
                <w:sz w:val="19"/>
                <w:szCs w:val="19"/>
              </w:rPr>
              <w:t xml:space="preserve">Extrapolated from global background-check market of US$3.2B (2020) at ~12% CAGR</w:t>
            </w:r>
          </w:p>
        </w:tc>
      </w:tr>
      <w:tr>
        <w:tc>
          <w:tcPr>
            <w:tcW w:type="dxa" w:w="1400"/>
            <w:shd w:fill="1633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SAM</w:t>
            </w:r>
          </w:p>
        </w:tc>
        <w:tc>
          <w:tcPr>
            <w:tcW w:type="dxa" w:w="2800"/>
            <w:shd w:fill="16335C" w:val="clear"/>
            <w:tcMar>
              <w:top w:type="dxa" w:w="100"/>
              <w:left w:type="dxa" w:w="120"/>
              <w:bottom w:type="dxa" w:w="100"/>
              <w:right w:type="dxa" w:w="120"/>
            </w:tcMar>
            <w:vAlign w:val="center"/>
          </w:tcPr>
          <w:p>
            <w:pPr>
              <w:jc w:val="left"/>
            </w:pPr>
            <w:r>
              <w:rPr>
                <w:rFonts w:ascii="Calibri" w:cs="Calibri" w:eastAsia="Calibri" w:hAnsi="Calibri"/>
                <w:b w:val="false"/>
                <w:bCs w:val="false"/>
                <w:color w:val="FFFFFF"/>
                <w:sz w:val="19"/>
                <w:szCs w:val="19"/>
              </w:rPr>
              <w:t xml:space="preserve">India Primary Source / Certificate Verification market (education + employment credential checks)</w:t>
            </w:r>
          </w:p>
        </w:tc>
        <w:tc>
          <w:tcPr>
            <w:tcW w:type="dxa" w:w="2400"/>
            <w:shd w:fill="1633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US$422M (2024) → US$1.48B (2032)</w:t>
            </w:r>
          </w:p>
        </w:tc>
        <w:tc>
          <w:tcPr>
            <w:tcW w:type="dxa" w:w="3800"/>
            <w:shd w:fill="16335C" w:val="clear"/>
            <w:tcMar>
              <w:top w:type="dxa" w:w="100"/>
              <w:left w:type="dxa" w:w="120"/>
              <w:bottom w:type="dxa" w:w="100"/>
              <w:right w:type="dxa" w:w="120"/>
            </w:tcMar>
            <w:vAlign w:val="center"/>
          </w:tcPr>
          <w:p>
            <w:pPr>
              <w:jc w:val="left"/>
            </w:pPr>
            <w:r>
              <w:rPr>
                <w:rFonts w:ascii="Calibri" w:cs="Calibri" w:eastAsia="Calibri" w:hAnsi="Calibri"/>
                <w:b w:val="false"/>
                <w:bCs w:val="false"/>
                <w:color w:val="FFFFFF"/>
                <w:sz w:val="19"/>
                <w:szCs w:val="19"/>
              </w:rPr>
              <w:t xml:space="preserve">India PSV market, 15.82% CAGR; India BGV market overall est. US$1.15B by 2031</w:t>
            </w:r>
          </w:p>
        </w:tc>
      </w:tr>
      <w:tr>
        <w:tc>
          <w:tcPr>
            <w:tcW w:type="dxa" w:w="1400"/>
            <w:shd w:fill="B9862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SOM</w:t>
            </w:r>
          </w:p>
        </w:tc>
        <w:tc>
          <w:tcPr>
            <w:tcW w:type="dxa" w:w="2800"/>
            <w:shd w:fill="B9862F" w:val="clear"/>
            <w:tcMar>
              <w:top w:type="dxa" w:w="100"/>
              <w:left w:type="dxa" w:w="120"/>
              <w:bottom w:type="dxa" w:w="100"/>
              <w:right w:type="dxa" w:w="120"/>
            </w:tcMar>
            <w:vAlign w:val="center"/>
          </w:tcPr>
          <w:p>
            <w:pPr>
              <w:jc w:val="left"/>
            </w:pPr>
            <w:r>
              <w:rPr>
                <w:rFonts w:ascii="Calibri" w:cs="Calibri" w:eastAsia="Calibri" w:hAnsi="Calibri"/>
                <w:b w:val="false"/>
                <w:bCs w:val="false"/>
                <w:color w:val="FFFFFF"/>
                <w:sz w:val="19"/>
                <w:szCs w:val="19"/>
              </w:rPr>
              <w:t xml:space="preserve">Realistic 3-year obtainable share: mid-size private colleges, staffing agencies, and SME/mid-market HR teams in 3–5 target states</w:t>
            </w:r>
          </w:p>
        </w:tc>
        <w:tc>
          <w:tcPr>
            <w:tcW w:type="dxa" w:w="2400"/>
            <w:shd w:fill="B9862F"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US$1.5–4M ARR (≈₹12–33 Cr)</w:t>
            </w:r>
          </w:p>
        </w:tc>
        <w:tc>
          <w:tcPr>
            <w:tcW w:type="dxa" w:w="3800"/>
            <w:shd w:fill="B9862F" w:val="clear"/>
            <w:tcMar>
              <w:top w:type="dxa" w:w="100"/>
              <w:left w:type="dxa" w:w="120"/>
              <w:bottom w:type="dxa" w:w="100"/>
              <w:right w:type="dxa" w:w="120"/>
            </w:tcMar>
            <w:vAlign w:val="center"/>
          </w:tcPr>
          <w:p>
            <w:pPr>
              <w:jc w:val="left"/>
            </w:pPr>
            <w:r>
              <w:rPr>
                <w:rFonts w:ascii="Calibri" w:cs="Calibri" w:eastAsia="Calibri" w:hAnsi="Calibri"/>
                <w:b w:val="false"/>
                <w:bCs w:val="false"/>
                <w:color w:val="FFFFFF"/>
                <w:sz w:val="19"/>
                <w:szCs w:val="19"/>
              </w:rPr>
              <w:t xml:space="preserve">Bottom-up: ~150–300 paying institutions/agencies × ₹1–12L average annual contract value</w:t>
            </w:r>
          </w:p>
        </w:tc>
      </w:tr>
    </w:tbl>
    <w:p>
      <w:pPr>
        <w:spacing w:after="100"/>
      </w:pPr>
    </w:p>
    <w:p>
      <w:pPr>
        <w:spacing w:after="100" w:before="200"/>
      </w:pPr>
      <w:r>
        <w:rPr>
          <w:rFonts w:ascii="Calibri" w:cs="Calibri" w:eastAsia="Calibri" w:hAnsi="Calibri"/>
          <w:b/>
          <w:bCs/>
          <w:color w:val="B9862F"/>
          <w:sz w:val="21"/>
          <w:szCs w:val="21"/>
        </w:rPr>
        <w:t xml:space="preserve">Funnel Visualisation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5500"/>
        <w:gridCol w:w="900"/>
      </w:tblGrid>
      <w:tr>
        <w:tc>
          <w:tcPr>
            <w:tcW w:type="dxa" w:w="2600"/>
            <w:tcMar>
              <w:top w:type="dxa" w:w="60"/>
              <w:left w:type="dxa" w:w="100"/>
              <w:bottom w:type="dxa" w:w="60"/>
              <w:right w:type="dxa" w:w="100"/>
            </w:tcMar>
            <w:vAlign w:val="center"/>
          </w:tcPr>
          <w:p>
            <w:r>
              <w:rPr>
                <w:rFonts w:ascii="Calibri" w:cs="Calibri" w:eastAsia="Calibri" w:hAnsi="Calibri"/>
                <w:b/>
                <w:bCs/>
                <w:color w:val="3A3A3A"/>
                <w:sz w:val="19"/>
                <w:szCs w:val="19"/>
              </w:rPr>
              <w:t xml:space="preserve">TAM</w:t>
            </w:r>
          </w:p>
        </w:tc>
        <w:tc>
          <w:tcPr>
            <w:tcW w:type="dxa" w:w="5500"/>
            <w:shd w:fill="0B1F3A" w:val="clear"/>
          </w:tcPr>
          <w:p>
            <w:r>
              <w:rPr>
                <w:sz w:val="2"/>
                <w:szCs w:val="2"/>
              </w:rPr>
              <w:t xml:space="preserve"/>
            </w:r>
          </w:p>
        </w:tc>
        <w:tc>
          <w:tcPr>
            <w:tcW w:type="dxa" w:w="900"/>
            <w:tcMar>
              <w:left w:type="dxa" w:w="100"/>
            </w:tcMar>
            <w:vAlign w:val="center"/>
          </w:tcPr>
          <w:p>
            <w:r>
              <w:rPr>
                <w:rFonts w:ascii="Calibri" w:cs="Calibri" w:eastAsia="Calibri" w:hAnsi="Calibri"/>
                <w:b/>
                <w:bCs/>
                <w:color w:val="0B1F3A"/>
                <w:sz w:val="19"/>
                <w:szCs w:val="19"/>
              </w:rPr>
              <w:t xml:space="preserve">$6-8B</w:t>
            </w:r>
          </w:p>
        </w:tc>
      </w:tr>
      <w:tr>
        <w:tc>
          <w:tcPr>
            <w:tcW w:type="dxa" w:w="2600"/>
            <w:tcMar>
              <w:top w:type="dxa" w:w="60"/>
              <w:left w:type="dxa" w:w="100"/>
              <w:bottom w:type="dxa" w:w="60"/>
              <w:right w:type="dxa" w:w="100"/>
            </w:tcMar>
            <w:vAlign w:val="center"/>
          </w:tcPr>
          <w:p>
            <w:r>
              <w:rPr>
                <w:rFonts w:ascii="Calibri" w:cs="Calibri" w:eastAsia="Calibri" w:hAnsi="Calibri"/>
                <w:b/>
                <w:bCs/>
                <w:color w:val="3A3A3A"/>
                <w:sz w:val="19"/>
                <w:szCs w:val="19"/>
              </w:rPr>
              <w:t xml:space="preserve">SAM</w:t>
            </w:r>
          </w:p>
        </w:tc>
        <w:tc>
          <w:tcPr>
            <w:tcW w:type="dxa" w:w="3025"/>
            <w:shd w:fill="16335C" w:val="clear"/>
          </w:tcPr>
          <w:p>
            <w:r>
              <w:rPr>
                <w:sz w:val="2"/>
                <w:szCs w:val="2"/>
              </w:rPr>
              <w:t xml:space="preserve"/>
            </w:r>
          </w:p>
        </w:tc>
        <w:tc>
          <w:tcPr>
            <w:tcW w:type="dxa" w:w="2475"/>
            <w:shd w:fill="EDEDED" w:val="clear"/>
          </w:tcPr>
          <w:p>
            <w:r>
              <w:rPr>
                <w:sz w:val="2"/>
                <w:szCs w:val="2"/>
              </w:rPr>
              <w:t xml:space="preserve"/>
            </w:r>
          </w:p>
        </w:tc>
        <w:tc>
          <w:tcPr>
            <w:tcW w:type="dxa" w:w="900"/>
            <w:tcMar>
              <w:left w:type="dxa" w:w="100"/>
            </w:tcMar>
            <w:vAlign w:val="center"/>
          </w:tcPr>
          <w:p>
            <w:r>
              <w:rPr>
                <w:rFonts w:ascii="Calibri" w:cs="Calibri" w:eastAsia="Calibri" w:hAnsi="Calibri"/>
                <w:b/>
                <w:bCs/>
                <w:color w:val="0B1F3A"/>
                <w:sz w:val="19"/>
                <w:szCs w:val="19"/>
              </w:rPr>
              <w:t xml:space="preserve">$0.4-1.5B</w:t>
            </w:r>
          </w:p>
        </w:tc>
      </w:tr>
      <w:tr>
        <w:tc>
          <w:tcPr>
            <w:tcW w:type="dxa" w:w="2600"/>
            <w:tcMar>
              <w:top w:type="dxa" w:w="60"/>
              <w:left w:type="dxa" w:w="100"/>
              <w:bottom w:type="dxa" w:w="60"/>
              <w:right w:type="dxa" w:w="100"/>
            </w:tcMar>
            <w:vAlign w:val="center"/>
          </w:tcPr>
          <w:p>
            <w:r>
              <w:rPr>
                <w:rFonts w:ascii="Calibri" w:cs="Calibri" w:eastAsia="Calibri" w:hAnsi="Calibri"/>
                <w:b/>
                <w:bCs/>
                <w:color w:val="3A3A3A"/>
                <w:sz w:val="19"/>
                <w:szCs w:val="19"/>
              </w:rPr>
              <w:t xml:space="preserve">SOM (Yr 3)</w:t>
            </w:r>
          </w:p>
        </w:tc>
        <w:tc>
          <w:tcPr>
            <w:tcW w:type="dxa" w:w="660"/>
            <w:shd w:fill="B9862F" w:val="clear"/>
          </w:tcPr>
          <w:p>
            <w:r>
              <w:rPr>
                <w:sz w:val="2"/>
                <w:szCs w:val="2"/>
              </w:rPr>
              <w:t xml:space="preserve"/>
            </w:r>
          </w:p>
        </w:tc>
        <w:tc>
          <w:tcPr>
            <w:tcW w:type="dxa" w:w="4840"/>
            <w:shd w:fill="EDEDED" w:val="clear"/>
          </w:tcPr>
          <w:p>
            <w:r>
              <w:rPr>
                <w:sz w:val="2"/>
                <w:szCs w:val="2"/>
              </w:rPr>
              <w:t xml:space="preserve"/>
            </w:r>
          </w:p>
        </w:tc>
        <w:tc>
          <w:tcPr>
            <w:tcW w:type="dxa" w:w="900"/>
            <w:tcMar>
              <w:left w:type="dxa" w:w="100"/>
            </w:tcMar>
            <w:vAlign w:val="center"/>
          </w:tcPr>
          <w:p>
            <w:r>
              <w:rPr>
                <w:rFonts w:ascii="Calibri" w:cs="Calibri" w:eastAsia="Calibri" w:hAnsi="Calibri"/>
                <w:b/>
                <w:bCs/>
                <w:color w:val="0B1F3A"/>
                <w:sz w:val="19"/>
                <w:szCs w:val="19"/>
              </w:rPr>
              <w:t xml:space="preserve">$1.5-4M</w:t>
            </w:r>
          </w:p>
        </w:tc>
      </w:tr>
    </w:tbl>
    <w:p>
      <w:pPr>
        <w:spacing w:after="120"/>
      </w:pPr>
    </w:p>
    <w:p>
      <w:pPr>
        <w:spacing w:after="100" w:before="200"/>
      </w:pPr>
      <w:r>
        <w:rPr>
          <w:rFonts w:ascii="Calibri" w:cs="Calibri" w:eastAsia="Calibri" w:hAnsi="Calibri"/>
          <w:b/>
          <w:bCs/>
          <w:color w:val="B9862F"/>
          <w:sz w:val="21"/>
          <w:szCs w:val="21"/>
        </w:rPr>
        <w:t xml:space="preserve">Bottom-Up SOM Model (Illustrative)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2200"/>
        <w:gridCol w:w="2200"/>
        <w:gridCol w:w="2000"/>
        <w:gridCol w:w="2200"/>
      </w:tblGrid>
      <w:tr>
        <w:trPr>
          <w:tblHeader/>
        </w:trPr>
        <w:tc>
          <w:tcPr>
            <w:tcW w:type="dxa" w:w="2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Segment</w:t>
            </w:r>
          </w:p>
        </w:tc>
        <w:tc>
          <w:tcPr>
            <w:tcW w:type="dxa" w:w="2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India Universe</w:t>
            </w:r>
          </w:p>
        </w:tc>
        <w:tc>
          <w:tcPr>
            <w:tcW w:type="dxa" w:w="2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Realistic 3-Yr Penetration</w:t>
            </w:r>
          </w:p>
        </w:tc>
        <w:tc>
          <w:tcPr>
            <w:tcW w:type="dxa" w:w="2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 ACV (₹)</w:t>
            </w:r>
          </w:p>
        </w:tc>
        <w:tc>
          <w:tcPr>
            <w:tcW w:type="dxa" w:w="2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Yr-3 Revenue Contribution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Private colleges/universities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45,000 institutions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0.3% (≈135)</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₹1.5L</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≈₹2.0 Cr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Recruitment agencies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15,000 agencies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0.8% (≈120)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₹2.5L</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≈₹3.0 Cr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Corporate HR teams (mid-market)</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20,000 companies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0.4% (≈80)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₹3.0L</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≈₹2.4 Cr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EdTech/online certificate issuers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2,000 platforms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1.5% (≈30)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₹4.0L</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≈₹1.2 Cr</w:t>
            </w:r>
          </w:p>
        </w:tc>
      </w:tr>
      <w:tr>
        <w:tc>
          <w:tcPr>
            <w:tcW w:type="dxa" w:w="2600"/>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Total (Year 3, illustrative)</w:t>
            </w:r>
          </w:p>
        </w:tc>
        <w:tc>
          <w:tcPr>
            <w:tcW w:type="dxa" w:w="2200"/>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w:t>
            </w:r>
          </w:p>
        </w:tc>
        <w:tc>
          <w:tcPr>
            <w:tcW w:type="dxa" w:w="2200"/>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≈365 customers</w:t>
            </w:r>
          </w:p>
        </w:tc>
        <w:tc>
          <w:tcPr>
            <w:tcW w:type="dxa" w:w="2000"/>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w:t>
            </w:r>
          </w:p>
        </w:tc>
        <w:tc>
          <w:tcPr>
            <w:tcW w:type="dxa" w:w="2200"/>
            <w:shd w:fill="EDEDED" w:val="clear"/>
            <w:tcMar>
              <w:top w:type="dxa" w:w="100"/>
              <w:left w:type="dxa" w:w="120"/>
              <w:bottom w:type="dxa" w:w="100"/>
              <w:right w:type="dxa" w:w="120"/>
            </w:tcMar>
            <w:vAlign w:val="center"/>
          </w:tcPr>
          <w:p>
            <w:pPr>
              <w:jc w:val="left"/>
            </w:pPr>
            <w:r>
              <w:rPr>
                <w:rFonts w:ascii="Calibri" w:cs="Calibri" w:eastAsia="Calibri" w:hAnsi="Calibri"/>
                <w:b/>
                <w:bCs/>
                <w:color w:val="3A3A3A"/>
                <w:sz w:val="19"/>
                <w:szCs w:val="19"/>
              </w:rPr>
              <w:t xml:space="preserve">≈₹8.6 Cr (≈US$1M)</w:t>
            </w:r>
          </w:p>
        </w:tc>
      </w:tr>
    </w:tbl>
    <w:p>
      <w:pPr>
        <w:spacing w:after="140" w:line="288"/>
        <w:jc w:val="both"/>
      </w:pPr>
      <w:r>
        <w:rPr>
          <w:rFonts w:ascii="Calibri" w:cs="Calibri" w:eastAsia="Calibri" w:hAnsi="Calibri"/>
          <w:b w:val="false"/>
          <w:bCs w:val="false"/>
          <w:i/>
          <w:iCs/>
          <w:color w:val="3A3A3A"/>
          <w:sz w:val="21"/>
          <w:szCs w:val="21"/>
        </w:rPr>
        <w:t xml:space="preserve">This model is deliberately conservative and should be re-calibrated once real pricing and conversion data exist from pilots.</w:t>
      </w:r>
    </w:p>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5. Competitor Analysis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1600"/>
        <w:gridCol w:w="3000"/>
        <w:gridCol w:w="3200"/>
      </w:tblGrid>
      <w:tr>
        <w:trPr>
          <w:tblHeader/>
        </w:trPr>
        <w:tc>
          <w:tcPr>
            <w:tcW w:type="dxa" w:w="2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Player</w:t>
            </w:r>
          </w:p>
        </w:tc>
        <w:tc>
          <w:tcPr>
            <w:tcW w:type="dxa" w:w="1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3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Strengths</w:t>
            </w:r>
          </w:p>
        </w:tc>
        <w:tc>
          <w:tcPr>
            <w:tcW w:type="dxa" w:w="3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Weaknesses / Gap vs. CertiVerify AI</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DigiLocker / National Academic Depository (NAD)</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Government infrastructure</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Free, legally recognised, backed by MeitY/UGC; growing institutional adoption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Opt-in for institutions only; no coverage for legacy years/non-participating boards; no AI tamper-detection on externally submitted physical/scanned documents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AuthBridge</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Enterprise BGV incumbent</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Strong enterprise/BFSI-FinTech relationships, ISO 27001, broad screening suite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Enterprise-priced, manual-heavy workflows, not education-specialised or AI-forgery-detection first</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IDfy</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Digital-first BGV</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API-based, popular with FinTech/digital businesses, fast turnaround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Broad identity/KYC focus; certificate-forgery detection is one feature among many, not the core wedge</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SpringVerify / OnGrid</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Startup-focused BGV</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Fast, API-driven, popular with startups and SMEs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Verification often relies on manual/field checks and institution outreach rather than ML-based document forensics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First Advantage</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Global BGV enterprise</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Multinational compliance coverage, 200+ countries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Expensive, enterprise-only, slow to adapt to India-specific mid-market pricing</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Blockchain credential startups (e.g. Gradify Labs)</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Emerging AI/blockchain credential infra</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NEP2020/NAD/ABC-aligned, modern tech stack, DPIIT-recognised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Focused on future-issued digital credentials; less suited to verifying legacy/paper certificates already in circulation</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Manual verification (status quo)</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In-house process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No new vendor cost, full institutional control</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Slow (days–weeks), error-prone, does not scale, highly vulnerable to sophisticated forgeries</w:t>
            </w:r>
          </w:p>
        </w:tc>
      </w:tr>
    </w:tbl>
    <w:p>
      <w:pPr>
        <w:spacing w:after="100"/>
      </w:pPr>
    </w:p>
    <w:tbl>
      <w:tblPr>
        <w:tblW w:type="pct" w:w="100%"/>
        <w:tblBorders>
          <w:top w:val="single" w:color="0B1F3A" w:sz="4"/>
          <w:left w:val="single" w:color="0B1F3A" w:sz="4"/>
          <w:bottom w:val="single" w:color="0B1F3A" w:sz="4"/>
          <w:right w:val="single" w:color="0B1F3A" w:sz="4"/>
          <w:insideH w:val="single" w:color="0B1F3A" w:sz="4"/>
          <w:insideV w:val="single" w:color="0B1F3A" w:sz="4"/>
        </w:tblBorders>
      </w:tblPr>
      <w:tblGrid>
        <w:gridCol w:w="100"/>
      </w:tblGrid>
      <w:tr>
        <w:tc>
          <w:tcPr>
            <w:shd w:fill="EDEDED" w:val="clear"/>
            <w:tcMar>
              <w:top w:type="dxa" w:w="160"/>
              <w:left w:type="dxa" w:w="200"/>
              <w:bottom w:type="dxa" w:w="160"/>
              <w:right w:type="dxa" w:w="200"/>
            </w:tcMar>
          </w:tcPr>
          <w:p>
            <w:pPr>
              <w:spacing w:after="60"/>
            </w:pPr>
            <w:r>
              <w:rPr>
                <w:rFonts w:ascii="Calibri" w:cs="Calibri" w:eastAsia="Calibri" w:hAnsi="Calibri"/>
                <w:b/>
                <w:bCs/>
                <w:color w:val="0B1F3A"/>
                <w:sz w:val="20"/>
                <w:szCs w:val="20"/>
              </w:rPr>
              <w:t xml:space="preserve">Competitive Read</w:t>
            </w:r>
          </w:p>
          <w:p>
            <w:r>
              <w:rPr>
                <w:rFonts w:ascii="Calibri" w:cs="Calibri" w:eastAsia="Calibri" w:hAnsi="Calibri"/>
                <w:color w:val="3A3A3A"/>
                <w:sz w:val="21"/>
                <w:szCs w:val="21"/>
              </w:rPr>
              <w:t xml:space="preserve">CertiVerify AI is not entering a white-space market — it is entering a market with strong government rails and well-funded BGV incumbents. The defensible wedge is narrow but real: AI/CV-based forgery and tampering detection on documents that fall outside NAD's opt-in coverage, offered at a price point and turnaround accessible to mid-size institutions and agencies that current enterprise BGV players under-serve.</w:t>
            </w:r>
          </w:p>
        </w:tc>
      </w:tr>
    </w:tbl>
    <w:p>
      <w:pPr>
        <w:pStyle w:val="Heading1"/>
        <w:pBdr>
          <w:bottom w:val="single" w:color="B9862F" w:sz="8" w:space="4"/>
        </w:pBdr>
        <w:spacing w:after="180" w:before="420"/>
      </w:pPr>
      <w:r>
        <w:rPr>
          <w:rFonts w:ascii="Calibri" w:cs="Calibri" w:eastAsia="Calibri" w:hAnsi="Calibri"/>
          <w:b/>
          <w:bCs/>
          <w:color w:val="0B1F3A"/>
          <w:sz w:val="30"/>
          <w:szCs w:val="30"/>
        </w:rPr>
        <w:t xml:space="preserve">6. Market Gap Analysis</w:t>
      </w:r>
    </w:p>
    <w:p>
      <w:pPr>
        <w:pStyle w:val="ListParagraph"/>
        <w:numPr>
          <w:ilvl w:val="0"/>
          <w:numId w:val="2"/>
        </w:numPr>
        <w:spacing w:after="80"/>
      </w:pPr>
      <w:r>
        <w:rPr>
          <w:rFonts w:ascii="Calibri" w:cs="Calibri" w:eastAsia="Calibri" w:hAnsi="Calibri"/>
          <w:color w:val="3A3A3A"/>
          <w:sz w:val="21"/>
          <w:szCs w:val="21"/>
        </w:rPr>
        <w:t xml:space="preserve">Coverage gap: NAD/DigiLocker only verifies certificates institutions have actively digitised and uploaded; a large volume of pre-NAD graduates, smaller/older institutions, and international boards remain unverifiable through government rails.</w:t>
      </w:r>
    </w:p>
    <w:p>
      <w:pPr>
        <w:pStyle w:val="ListParagraph"/>
        <w:numPr>
          <w:ilvl w:val="0"/>
          <w:numId w:val="2"/>
        </w:numPr>
        <w:spacing w:after="80"/>
      </w:pPr>
      <w:r>
        <w:rPr>
          <w:rFonts w:ascii="Calibri" w:cs="Calibri" w:eastAsia="Calibri" w:hAnsi="Calibri"/>
          <w:color w:val="3A3A3A"/>
          <w:sz w:val="21"/>
          <w:szCs w:val="21"/>
        </w:rPr>
        <w:t xml:space="preserve">Detection-method gap: Most BGV incumbents verify by contacting the issuing institution (manual, slow) rather than analysing the document itself for tampering signatures (fonts, seals, metadata, pixel-level manipulation) — CertiVerify AI's core technical differentiator.</w:t>
      </w:r>
    </w:p>
    <w:p>
      <w:pPr>
        <w:pStyle w:val="ListParagraph"/>
        <w:numPr>
          <w:ilvl w:val="0"/>
          <w:numId w:val="2"/>
        </w:numPr>
        <w:spacing w:after="80"/>
      </w:pPr>
      <w:r>
        <w:rPr>
          <w:rFonts w:ascii="Calibri" w:cs="Calibri" w:eastAsia="Calibri" w:hAnsi="Calibri"/>
          <w:color w:val="3A3A3A"/>
          <w:sz w:val="21"/>
          <w:szCs w:val="21"/>
        </w:rPr>
        <w:t xml:space="preserve">Price/segment gap: Enterprise BGV pricing and account-management models are built for large corporates; small colleges, regional recruitment agencies, and SME employers are under-served and price-sensitive.</w:t>
      </w:r>
    </w:p>
    <w:p>
      <w:pPr>
        <w:pStyle w:val="ListParagraph"/>
        <w:numPr>
          <w:ilvl w:val="0"/>
          <w:numId w:val="2"/>
        </w:numPr>
        <w:spacing w:after="80"/>
      </w:pPr>
      <w:r>
        <w:rPr>
          <w:rFonts w:ascii="Calibri" w:cs="Calibri" w:eastAsia="Calibri" w:hAnsi="Calibri"/>
          <w:color w:val="3A3A3A"/>
          <w:sz w:val="21"/>
          <w:szCs w:val="21"/>
        </w:rPr>
        <w:t xml:space="preserve">Speed gap: Manual institution-contact verification can take days to weeks; an ML/OCR-first approach can return a fraud-risk score in seconds to minutes for a large share of cases, escalating only ambiguous cases to manual review.</w:t>
      </w:r>
    </w:p>
    <w:p>
      <w:pPr>
        <w:pStyle w:val="ListParagraph"/>
        <w:numPr>
          <w:ilvl w:val="0"/>
          <w:numId w:val="2"/>
        </w:numPr>
        <w:spacing w:after="80"/>
      </w:pPr>
      <w:r>
        <w:rPr>
          <w:rFonts w:ascii="Calibri" w:cs="Calibri" w:eastAsia="Calibri" w:hAnsi="Calibri"/>
          <w:color w:val="3A3A3A"/>
          <w:sz w:val="21"/>
          <w:szCs w:val="21"/>
        </w:rPr>
        <w:t xml:space="preserve">Trust layer for EdTech: Online certificate issuers (bootcamps, MOOCs, skilling platforms) currently have weak, inconsistent verification options for their own certificates — an underserved niche adjacent to the core wedge.</w:t>
      </w:r>
    </w:p>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7. Ideal Customer Profile (ICP)</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800"/>
      </w:tblGrid>
      <w:tr>
        <w:trPr>
          <w:tblHeader/>
        </w:trPr>
        <w:tc>
          <w:tcPr>
            <w:tcW w:type="dxa" w:w="2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Attribute</w:t>
            </w:r>
          </w:p>
        </w:tc>
        <w:tc>
          <w:tcPr>
            <w:tcW w:type="dxa" w:w="7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Profile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Organisation type</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Mid-size private universities/colleges; recruitment &amp; staffing agencies; mid-market corporate HR/TA teams (500–10,000 employees); online certificate-issuing platforms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Geography</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Tier-1 and Tier-2 India initially — Karnataka, Maharashtra, Tamil Nadu, Delhi-NCR, Telangana (highest density of colleges + recruitment/HR activity)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Volume trigger</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Processes 200+ certificate/document verifications per month (admissions cycles, bulk hiring drives, or continuous recruitment pipelines)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Current process</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Manual checking, PDF/photo review by admin staff, or ad-hoc emails to issuing institutions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Budget holder</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Registrar/Admissions Head (education); TA Manager or HR Head (recruitment/corporate); Compliance/Operations Lead (agencies)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Buying trigger</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 fraud incident, an audit/compliance requirement (DPDP Act, NAAC/UGC review), or a scaling hiring/admissions cycle straining manual capacity</w:t>
            </w:r>
          </w:p>
        </w:tc>
      </w:tr>
    </w:tbl>
    <w:p>
      <w:pPr>
        <w:pStyle w:val="Heading1"/>
        <w:pBdr>
          <w:bottom w:val="single" w:color="B9862F" w:sz="8" w:space="4"/>
        </w:pBdr>
        <w:spacing w:after="180" w:before="420"/>
      </w:pPr>
      <w:r>
        <w:rPr>
          <w:rFonts w:ascii="Calibri" w:cs="Calibri" w:eastAsia="Calibri" w:hAnsi="Calibri"/>
          <w:b/>
          <w:bCs/>
          <w:color w:val="0B1F3A"/>
          <w:sz w:val="30"/>
          <w:szCs w:val="30"/>
        </w:rPr>
        <w:t xml:space="preserve">8. Buyer Persona</w:t>
      </w:r>
    </w:p>
    <w:p>
      <w:pPr>
        <w:pStyle w:val="Heading2"/>
        <w:spacing w:after="120" w:before="300"/>
      </w:pPr>
      <w:r>
        <w:rPr>
          <w:rFonts w:ascii="Calibri" w:cs="Calibri" w:eastAsia="Calibri" w:hAnsi="Calibri"/>
          <w:b/>
          <w:bCs/>
          <w:color w:val="16335C"/>
          <w:sz w:val="24"/>
          <w:szCs w:val="24"/>
        </w:rPr>
        <w:t xml:space="preserve">Persona 1 — “Priya”, Head of Admissions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800"/>
      </w:tblGrid>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Age / Role</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38, Head of Admissions &amp; Registrar Office, mid-size private university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Goals</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Process admissions quickly each cycle without letting fraudulent transfer/marksheet documents through; maintain NAAC/UGC compliance standing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Frustrations</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Peak-season backlog of manual document checks; limited staff; occasional discovery of forged marksheets after enrolment, creating legal/reputational risk</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Decision criteria</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Accuracy, turnaround time, ease of integration with existing admissions software, data-privacy compliance (DPDP Act)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Preferred channel</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Referrals from peer institutions, education-sector conferences/associations, LinkedIn outreach</w:t>
            </w:r>
          </w:p>
        </w:tc>
      </w:tr>
    </w:tbl>
    <w:p>
      <w:pPr>
        <w:spacing w:after="100"/>
      </w:pPr>
    </w:p>
    <w:p>
      <w:pPr>
        <w:pStyle w:val="Heading2"/>
        <w:spacing w:after="120" w:before="300"/>
      </w:pPr>
      <w:r>
        <w:rPr>
          <w:rFonts w:ascii="Calibri" w:cs="Calibri" w:eastAsia="Calibri" w:hAnsi="Calibri"/>
          <w:b/>
          <w:bCs/>
          <w:color w:val="16335C"/>
          <w:sz w:val="24"/>
          <w:szCs w:val="24"/>
        </w:rPr>
        <w:t xml:space="preserve">Persona 2 — “Rohit”, Talent Acquisition Manager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800"/>
      </w:tblGrid>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Age / Role</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31, TA Manager, mid-market recruitment agency placing 300+ candidates/month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Goals</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Close placements fast without exposing client companies to fraudulent-hire liability; protect agency reputation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Frustrations</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Existing BGV vendors are slow or expensive for high-volume, lower-ticket placements; false positives create candidate friction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Decision criteria</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Speed (ideally same-day), per-check pricing that scales with volume, API integration with ATS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Preferred channel</w:t>
            </w:r>
          </w:p>
        </w:tc>
        <w:tc>
          <w:tcPr>
            <w:tcW w:type="dxa" w:w="7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HRTech marketplaces, staffing-industry WhatsApp/LinkedIn communities, direct outbound demos</w:t>
            </w:r>
          </w:p>
        </w:tc>
      </w:tr>
    </w:tbl>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9. Customer Pain Points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4600"/>
        <w:gridCol w:w="3200"/>
        <w:gridCol w:w="1600"/>
      </w:tblGrid>
      <w:tr>
        <w:trPr>
          <w:tblHeader/>
        </w:trPr>
        <w:tc>
          <w:tcPr>
            <w:tcW w:type="dxa" w:w="4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Pain Point</w:t>
            </w:r>
          </w:p>
        </w:tc>
        <w:tc>
          <w:tcPr>
            <w:tcW w:type="dxa" w:w="3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Who Feels It Most</w:t>
            </w:r>
          </w:p>
        </w:tc>
        <w:tc>
          <w:tcPr>
            <w:tcW w:type="dxa" w:w="1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Severity</w:t>
            </w:r>
          </w:p>
        </w:tc>
      </w:tr>
      <w:tr>
        <w:tc>
          <w:tcPr>
            <w:tcW w:type="dxa" w:w="46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Manual verification is slow (days–weeks) and delays admissions/hiring decisions</w:t>
            </w:r>
          </w:p>
        </w:tc>
        <w:tc>
          <w:tcPr>
            <w:tcW w:type="dxa" w:w="3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Registrars, TA teams</w:t>
            </w:r>
          </w:p>
        </w:tc>
        <w:tc>
          <w:tcPr>
            <w:tcW w:type="dxa" w:w="16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r>
      <w:tr>
        <w:tc>
          <w:tcPr>
            <w:tcW w:type="dxa" w:w="46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Sophisticated forgeries (photoshopped seals, altered grades) are hard to catch visually</w:t>
            </w:r>
          </w:p>
        </w:tc>
        <w:tc>
          <w:tcPr>
            <w:tcW w:type="dxa" w:w="3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Registrars, HR, agencies</w:t>
            </w:r>
          </w:p>
        </w:tc>
        <w:tc>
          <w:tcPr>
            <w:tcW w:type="dxa" w:w="16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r>
      <w:tr>
        <w:tc>
          <w:tcPr>
            <w:tcW w:type="dxa" w:w="46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No verification option exists for graduates from institutions not yet on NAD/DigiLocker</w:t>
            </w:r>
          </w:p>
        </w:tc>
        <w:tc>
          <w:tcPr>
            <w:tcW w:type="dxa" w:w="3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Employers, agencies</w:t>
            </w:r>
          </w:p>
        </w:tc>
        <w:tc>
          <w:tcPr>
            <w:tcW w:type="dxa" w:w="16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r>
      <w:tr>
        <w:tc>
          <w:tcPr>
            <w:tcW w:type="dxa" w:w="46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Enterprise BGV vendors are cost-prohibitive at SME/mid-market volumes</w:t>
            </w:r>
          </w:p>
        </w:tc>
        <w:tc>
          <w:tcPr>
            <w:tcW w:type="dxa" w:w="3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SME employers, small colleges</w:t>
            </w:r>
          </w:p>
        </w:tc>
        <w:tc>
          <w:tcPr>
            <w:tcW w:type="dxa" w:w="16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r>
      <w:tr>
        <w:tc>
          <w:tcPr>
            <w:tcW w:type="dxa" w:w="46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Compliance exposure under DPDP Act 2023 for mishandled applicant data</w:t>
            </w:r>
          </w:p>
        </w:tc>
        <w:tc>
          <w:tcPr>
            <w:tcW w:type="dxa" w:w="3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Compliance/HR leads</w:t>
            </w:r>
          </w:p>
        </w:tc>
        <w:tc>
          <w:tcPr>
            <w:tcW w:type="dxa" w:w="16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r>
      <w:tr>
        <w:tc>
          <w:tcPr>
            <w:tcW w:type="dxa" w:w="46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Reputational risk from a single publicised fraud incident</w:t>
            </w:r>
          </w:p>
        </w:tc>
        <w:tc>
          <w:tcPr>
            <w:tcW w:type="dxa" w:w="3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Institution leadership</w:t>
            </w:r>
          </w:p>
        </w:tc>
        <w:tc>
          <w:tcPr>
            <w:tcW w:type="dxa" w:w="16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r>
    </w:tbl>
    <w:p>
      <w:pPr>
        <w:pStyle w:val="Heading1"/>
        <w:pBdr>
          <w:bottom w:val="single" w:color="B9862F" w:sz="8" w:space="4"/>
        </w:pBdr>
        <w:spacing w:after="180" w:before="420"/>
      </w:pPr>
      <w:r>
        <w:rPr>
          <w:rFonts w:ascii="Calibri" w:cs="Calibri" w:eastAsia="Calibri" w:hAnsi="Calibri"/>
          <w:b/>
          <w:bCs/>
          <w:color w:val="0B1F3A"/>
          <w:sz w:val="30"/>
          <w:szCs w:val="30"/>
        </w:rPr>
        <w:t xml:space="preserve">10. Buying Triggers &amp; Objections</w:t>
      </w:r>
    </w:p>
    <w:p>
      <w:pPr>
        <w:pStyle w:val="Heading2"/>
        <w:spacing w:after="120" w:before="300"/>
      </w:pPr>
      <w:r>
        <w:rPr>
          <w:rFonts w:ascii="Calibri" w:cs="Calibri" w:eastAsia="Calibri" w:hAnsi="Calibri"/>
          <w:b/>
          <w:bCs/>
          <w:color w:val="16335C"/>
          <w:sz w:val="24"/>
          <w:szCs w:val="24"/>
        </w:rPr>
        <w:t xml:space="preserve">10.1 Buying Triggers</w:t>
      </w:r>
    </w:p>
    <w:p>
      <w:pPr>
        <w:pStyle w:val="ListParagraph"/>
        <w:numPr>
          <w:ilvl w:val="0"/>
          <w:numId w:val="2"/>
        </w:numPr>
        <w:spacing w:after="80"/>
      </w:pPr>
      <w:r>
        <w:rPr>
          <w:rFonts w:ascii="Calibri" w:cs="Calibri" w:eastAsia="Calibri" w:hAnsi="Calibri"/>
          <w:color w:val="3A3A3A"/>
          <w:sz w:val="21"/>
          <w:szCs w:val="21"/>
        </w:rPr>
        <w:t xml:space="preserve">A recent fraud incident (forged marksheet, fake degree) discovered internally or in the press</w:t>
      </w:r>
    </w:p>
    <w:p>
      <w:pPr>
        <w:pStyle w:val="ListParagraph"/>
        <w:numPr>
          <w:ilvl w:val="0"/>
          <w:numId w:val="2"/>
        </w:numPr>
        <w:spacing w:after="80"/>
      </w:pPr>
      <w:r>
        <w:rPr>
          <w:rFonts w:ascii="Calibri" w:cs="Calibri" w:eastAsia="Calibri" w:hAnsi="Calibri"/>
          <w:color w:val="3A3A3A"/>
          <w:sz w:val="21"/>
          <w:szCs w:val="21"/>
        </w:rPr>
        <w:t xml:space="preserve">An upcoming NAAC/UGC accreditation audit or DPDP Act compliance review</w:t>
      </w:r>
    </w:p>
    <w:p>
      <w:pPr>
        <w:pStyle w:val="ListParagraph"/>
        <w:numPr>
          <w:ilvl w:val="0"/>
          <w:numId w:val="2"/>
        </w:numPr>
        <w:spacing w:after="80"/>
      </w:pPr>
      <w:r>
        <w:rPr>
          <w:rFonts w:ascii="Calibri" w:cs="Calibri" w:eastAsia="Calibri" w:hAnsi="Calibri"/>
          <w:color w:val="3A3A3A"/>
          <w:sz w:val="21"/>
          <w:szCs w:val="21"/>
        </w:rPr>
        <w:t xml:space="preserve">A scaling hiring drive or admissions cycle that overwhelms existing manual capacity</w:t>
      </w:r>
    </w:p>
    <w:p>
      <w:pPr>
        <w:pStyle w:val="ListParagraph"/>
        <w:numPr>
          <w:ilvl w:val="0"/>
          <w:numId w:val="2"/>
        </w:numPr>
        <w:spacing w:after="80"/>
      </w:pPr>
      <w:r>
        <w:rPr>
          <w:rFonts w:ascii="Calibri" w:cs="Calibri" w:eastAsia="Calibri" w:hAnsi="Calibri"/>
          <w:color w:val="3A3A3A"/>
          <w:sz w:val="21"/>
          <w:szCs w:val="21"/>
        </w:rPr>
        <w:t xml:space="preserve">A new mandate or recommendation from a parent group, franchise network, or client enterprise requiring verified hires</w:t>
      </w:r>
    </w:p>
    <w:p>
      <w:pPr>
        <w:pStyle w:val="Heading2"/>
        <w:spacing w:after="120" w:before="300"/>
      </w:pPr>
      <w:r>
        <w:rPr>
          <w:rFonts w:ascii="Calibri" w:cs="Calibri" w:eastAsia="Calibri" w:hAnsi="Calibri"/>
          <w:b/>
          <w:bCs/>
          <w:color w:val="16335C"/>
          <w:sz w:val="24"/>
          <w:szCs w:val="24"/>
        </w:rPr>
        <w:t xml:space="preserve">10.2 Likely Objections &amp; Response Strategy</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800"/>
      </w:tblGrid>
      <w:tr>
        <w:trPr>
          <w:tblHeader/>
        </w:trPr>
        <w:tc>
          <w:tcPr>
            <w:tcW w:type="dxa" w:w="3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Objection</w:t>
            </w:r>
          </w:p>
        </w:tc>
        <w:tc>
          <w:tcPr>
            <w:tcW w:type="dxa" w:w="6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Response Strategy</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“We already use DigiLocker/NAD — why do we need this?”</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Position as a complementary layer for the certificates NAD doesn't cover (legacy years, non-participating boards, physical submissions) rather than a replacement.</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“How accurate is the AI — what if it wrongly flags a genuine certificate?”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Lead with a human-in-the-loop workflow: AI flags a risk score, ambiguous/high-risk cases route to manual review, with a transparent accuracy benchmark published from pilot data.</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“Is our applicant data secure and DPDP-compliant?”</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Publish a clear data-handling and retention policy; pursue ISO 27001 as a near-term roadmap milestone; offer on-shore data hosting.</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“We don't have budget for a new tool this year.”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Offer a low-cost or free pilot tier tied to a fixed number of checks, converting to paid only after demonstrated fraud catches or time savings.</w:t>
            </w:r>
          </w:p>
        </w:tc>
      </w:tr>
    </w:tbl>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11. Customer Journey</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800"/>
        <w:gridCol w:w="4200"/>
      </w:tblGrid>
      <w:tr>
        <w:trPr>
          <w:tblHeader/>
        </w:trPr>
        <w:tc>
          <w:tcPr>
            <w:tcW w:type="dxa" w:w="2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Stage</w:t>
            </w:r>
          </w:p>
        </w:tc>
        <w:tc>
          <w:tcPr>
            <w:tcW w:type="dxa" w:w="3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Customer Activity</w:t>
            </w:r>
          </w:p>
        </w:tc>
        <w:tc>
          <w:tcPr>
            <w:tcW w:type="dxa" w:w="4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CertiVerify AI Touchpoint</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Awareness</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Experiences a fraud incident, compliance deadline, or manual-process bottleneck</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Content/LinkedIn presence on certificate-fraud trends; referrals; sector-association visibility</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Consideration</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Compares manual process vs. existing BGV vendors vs. new AI tools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Case studies, live demo, transparent accuracy/turnaround benchmarks vs. incumbents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Trial / Pilot</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Runs a limited pilot on a batch of real/historical documents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Free or low-cost pilot tier; dedicated onboarding support; fast feedback loop on flagged cases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Purchase</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Signs annual/subscription contract, integrates via API or portal upload</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Simple pricing tiers, API documentation, dedicated account contact</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Retention &amp; Expansion</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Monitors fraud-catch rate and time saved; considers expanding to more departments/branches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Usage dashboards, quarterly fraud-trend reports, upsell to additional campuses/branches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Advocacy</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Refers peer institutions/agencies; provides testimonial</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Referral incentives, co-marketing case studies, sector-conference speaking slots</w:t>
            </w:r>
          </w:p>
        </w:tc>
      </w:tr>
    </w:tbl>
    <w:p>
      <w:pPr>
        <w:pStyle w:val="Heading1"/>
        <w:pBdr>
          <w:bottom w:val="single" w:color="B9862F" w:sz="8" w:space="4"/>
        </w:pBdr>
        <w:spacing w:after="180" w:before="420"/>
      </w:pPr>
      <w:r>
        <w:rPr>
          <w:rFonts w:ascii="Calibri" w:cs="Calibri" w:eastAsia="Calibri" w:hAnsi="Calibri"/>
          <w:b/>
          <w:bCs/>
          <w:color w:val="0B1F3A"/>
          <w:sz w:val="30"/>
          <w:szCs w:val="30"/>
        </w:rPr>
        <w:t xml:space="preserve">12. Risk Assessment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400"/>
        <w:gridCol w:w="1400"/>
        <w:gridCol w:w="4000"/>
      </w:tblGrid>
      <w:tr>
        <w:trPr>
          <w:tblHeader/>
        </w:trPr>
        <w:tc>
          <w:tcPr>
            <w:tcW w:type="dxa" w:w="3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1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Likelihood</w:t>
            </w:r>
          </w:p>
        </w:tc>
        <w:tc>
          <w:tcPr>
            <w:tcW w:type="dxa" w:w="1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Impact</w:t>
            </w:r>
          </w:p>
        </w:tc>
        <w:tc>
          <w:tcPr>
            <w:tcW w:type="dxa" w:w="4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Government rails (NAD/DigiLocker/APAAR) expand coverage and reduce the addressable gap</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Position as a complementary verification + fraud-analytics layer on top of NAD, not a competitor; pursue integration/partnership rather than substitution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Model accuracy: false positives/negatives erode institutional trust</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Human-in-the-loop review for ambiguous cases; publish and continuously track precision/recall from pilot data</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Data privacy/regulatory risk (DPDP Act 2023, sensitive personal data)</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Privacy-by-design architecture, data minimisation, clear consent flows, roadmap toward ISO 27001</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Long institutional sales cycles (education/government) slow revenue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Prioritise recruitment agencies and mid-market HR (faster sales cycles) alongside slower-moving education pilots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Solo-founder execution and network bandwidth constraints</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High</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Recruit an advisor/co-founder with EdTech or HR-tech GTM experience; join an accelerator/incubator for network access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Incumbent BGV players add AI-forgery-detection features</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Low-Medium</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Medium</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Move fast on the narrow wedge, build defensibility through proprietary tampering-pattern training data over time</w:t>
            </w:r>
          </w:p>
        </w:tc>
      </w:tr>
    </w:tbl>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13. Pivot Opportunities</w:t>
      </w:r>
    </w:p>
    <w:p>
      <w:pPr>
        <w:spacing w:after="140" w:line="288"/>
        <w:jc w:val="both"/>
      </w:pPr>
      <w:r>
        <w:rPr>
          <w:rFonts w:ascii="Calibri" w:cs="Calibri" w:eastAsia="Calibri" w:hAnsi="Calibri"/>
          <w:b w:val="false"/>
          <w:bCs w:val="false"/>
          <w:i w:val="false"/>
          <w:iCs w:val="false"/>
          <w:color w:val="3A3A3A"/>
          <w:sz w:val="21"/>
          <w:szCs w:val="21"/>
        </w:rPr>
        <w:t xml:space="preserve">If the core institution/employer-facing product proves difficult to sell in the near term, the underlying AI/OCR forgery-detection engine supports several adjacent pivots without discarding the core technology:</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4200"/>
        <w:gridCol w:w="3200"/>
      </w:tblGrid>
      <w:tr>
        <w:trPr>
          <w:tblHeader/>
        </w:trPr>
        <w:tc>
          <w:tcPr>
            <w:tcW w:type="dxa" w:w="26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Pivot Direction</w:t>
            </w:r>
          </w:p>
        </w:tc>
        <w:tc>
          <w:tcPr>
            <w:tcW w:type="dxa" w:w="4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Description</w:t>
            </w:r>
          </w:p>
        </w:tc>
        <w:tc>
          <w:tcPr>
            <w:tcW w:type="dxa" w:w="3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Why It Could Work</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API-first B2B tool for existing BGV players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License the forgery-detection engine to AuthBridge/IDfy/SpringVerify-type players as an add-on module rather than competing directly</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Faster distribution via incumbents' existing customer base; avoids a long direct sales cycle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Vertical focus on EdTech/online-certificate issuers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Become the default verification layer for bootcamps, MOOCs, and skilling platforms issuing their own certificates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Smaller, faster-moving buyers; strong product-market alignment with a founder's AI/DS background</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Government/PSU partnership model</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Offer the AI layer as a value-add integration to NAD/DigiLocker or state education boards for legacy-record digitisation and fraud screening</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Aligns with, rather than competes against, national digital-infrastructure priorities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Document-fraud detection beyond certificates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Extend the OCR/tamper-detection engine to other high-fraud document types (offer letters, salary slips, ID documents)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Larger addressable market within the same core technical capability</w:t>
            </w:r>
          </w:p>
        </w:tc>
      </w:tr>
    </w:tbl>
    <w:p>
      <w:pPr>
        <w:pStyle w:val="Heading1"/>
        <w:pBdr>
          <w:bottom w:val="single" w:color="B9862F" w:sz="8" w:space="4"/>
        </w:pBdr>
        <w:spacing w:after="180" w:before="420"/>
      </w:pPr>
      <w:r>
        <w:rPr>
          <w:rFonts w:ascii="Calibri" w:cs="Calibri" w:eastAsia="Calibri" w:hAnsi="Calibri"/>
          <w:b/>
          <w:bCs/>
          <w:color w:val="0B1F3A"/>
          <w:sz w:val="30"/>
          <w:szCs w:val="30"/>
        </w:rPr>
        <w:t xml:space="preserve">14. Go / No-Go Recommendation</w:t>
      </w:r>
    </w:p>
    <w:tbl>
      <w:tblPr>
        <w:tblW w:type="pct" w:w="100%"/>
        <w:tblBorders>
          <w:top w:val="single" w:color="1E7A46" w:sz="4"/>
          <w:left w:val="single" w:color="1E7A46" w:sz="4"/>
          <w:bottom w:val="single" w:color="1E7A46" w:sz="4"/>
          <w:right w:val="single" w:color="1E7A46" w:sz="4"/>
          <w:insideH w:val="single" w:color="1E7A46" w:sz="4"/>
          <w:insideV w:val="single" w:color="1E7A46" w:sz="4"/>
        </w:tblBorders>
      </w:tblPr>
      <w:tblGrid>
        <w:gridCol w:w="100"/>
      </w:tblGrid>
      <w:tr>
        <w:tc>
          <w:tcPr>
            <w:shd w:fill="DDEFE3" w:val="clear"/>
            <w:tcMar>
              <w:top w:type="dxa" w:w="160"/>
              <w:left w:type="dxa" w:w="200"/>
              <w:bottom w:type="dxa" w:w="160"/>
              <w:right w:type="dxa" w:w="200"/>
            </w:tcMar>
          </w:tcPr>
          <w:p>
            <w:pPr>
              <w:spacing w:after="60"/>
            </w:pPr>
            <w:r>
              <w:rPr>
                <w:rFonts w:ascii="Calibri" w:cs="Calibri" w:eastAsia="Calibri" w:hAnsi="Calibri"/>
                <w:b/>
                <w:bCs/>
                <w:color w:val="1E7A46"/>
                <w:sz w:val="20"/>
                <w:szCs w:val="20"/>
              </w:rPr>
              <w:t xml:space="preserve">Recommendation: CONDITIONAL GO</w:t>
            </w:r>
          </w:p>
          <w:p>
            <w:r>
              <w:rPr>
                <w:rFonts w:ascii="Calibri" w:cs="Calibri" w:eastAsia="Calibri" w:hAnsi="Calibri"/>
                <w:color w:val="3A3A3A"/>
                <w:sz w:val="21"/>
                <w:szCs w:val="21"/>
              </w:rPr>
              <w:t xml:space="preserve">Proceed — but gate any significant time, capital, or fundraising commitment on completing real buyer validation (Section 15) within the next 30–45 days. The underlying market pain and market size are well evidenced; the missing piece is proof that a specific institution, agency, or HR team will pay for this specific product at a specific price.</w:t>
            </w:r>
          </w:p>
        </w:tc>
      </w:tr>
    </w:tbl>
    <w:p>
      <w:pPr>
        <w:spacing w:after="100"/>
      </w:pPr>
    </w:p>
    <w:p>
      <w:pPr>
        <w:spacing w:after="100" w:before="200"/>
      </w:pPr>
      <w:r>
        <w:rPr>
          <w:rFonts w:ascii="Calibri" w:cs="Calibri" w:eastAsia="Calibri" w:hAnsi="Calibri"/>
          <w:b/>
          <w:bCs/>
          <w:color w:val="B9862F"/>
          <w:sz w:val="21"/>
          <w:szCs w:val="21"/>
        </w:rPr>
        <w:t xml:space="preserve">Decision Framework</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3800"/>
        <w:gridCol w:w="3400"/>
        <w:gridCol w:w="2200"/>
      </w:tblGrid>
      <w:tr>
        <w:trPr>
          <w:tblHeader/>
        </w:trPr>
        <w:tc>
          <w:tcPr>
            <w:tcW w:type="dxa" w:w="38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Criterion</w:t>
            </w:r>
          </w:p>
        </w:tc>
        <w:tc>
          <w:tcPr>
            <w:tcW w:type="dxa" w:w="3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Status</w:t>
            </w:r>
          </w:p>
        </w:tc>
        <w:tc>
          <w:tcPr>
            <w:tcW w:type="dxa" w:w="2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Verdict</w:t>
            </w:r>
          </w:p>
        </w:tc>
      </w:tr>
      <w:tr>
        <w:tc>
          <w:tcPr>
            <w:tcW w:type="dxa" w:w="38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Problem is real and economically painful</w:t>
            </w:r>
          </w:p>
        </w:tc>
        <w:tc>
          <w:tcPr>
            <w:tcW w:type="dxa" w:w="34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Confirmed via third-party market data</w:t>
            </w:r>
          </w:p>
        </w:tc>
        <w:tc>
          <w:tcPr>
            <w:tcW w:type="dxa" w:w="2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Pass</w:t>
            </w:r>
          </w:p>
        </w:tc>
      </w:tr>
      <w:tr>
        <w:tc>
          <w:tcPr>
            <w:tcW w:type="dxa" w:w="38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Market is large enough to build a venture on</w:t>
            </w:r>
          </w:p>
        </w:tc>
        <w:tc>
          <w:tcPr>
            <w:tcW w:type="dxa" w:w="34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SAM of US$422M–$1.48B in India alone</w:t>
            </w:r>
          </w:p>
        </w:tc>
        <w:tc>
          <w:tcPr>
            <w:tcW w:type="dxa" w:w="2200"/>
            <w:shd w:fill="DDEFE3"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Pass</w:t>
            </w:r>
          </w:p>
        </w:tc>
      </w:tr>
      <w:tr>
        <w:tc>
          <w:tcPr>
            <w:tcW w:type="dxa" w:w="38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 defensible wedge exists vs. incumbents</w:t>
            </w:r>
          </w:p>
        </w:tc>
        <w:tc>
          <w:tcPr>
            <w:tcW w:type="dxa" w:w="34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Narrow but real (AI tamper-detection + coverage gap)</w:t>
            </w:r>
          </w:p>
        </w:tc>
        <w:tc>
          <w:tcPr>
            <w:tcW w:type="dxa" w:w="2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Conditional Pass</w:t>
            </w:r>
          </w:p>
        </w:tc>
      </w:tr>
      <w:tr>
        <w:tc>
          <w:tcPr>
            <w:tcW w:type="dxa" w:w="38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A paying customer has confirmed willingness to pay</w:t>
            </w:r>
          </w:p>
        </w:tc>
        <w:tc>
          <w:tcPr>
            <w:tcW w:type="dxa" w:w="34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Not yet tested</w:t>
            </w:r>
          </w:p>
        </w:tc>
        <w:tc>
          <w:tcPr>
            <w:tcW w:type="dxa" w:w="2200"/>
            <w:shd w:fill="F8DEDE"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Fail (fixable in 30 days)</w:t>
            </w:r>
          </w:p>
        </w:tc>
      </w:tr>
      <w:tr>
        <w:tc>
          <w:tcPr>
            <w:tcW w:type="dxa" w:w="38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Founder has capacity/network to execute GTM</w:t>
            </w:r>
          </w:p>
        </w:tc>
        <w:tc>
          <w:tcPr>
            <w:tcW w:type="dxa" w:w="34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Technical fit strong; network fit weak</w:t>
            </w:r>
          </w:p>
        </w:tc>
        <w:tc>
          <w:tcPr>
            <w:tcW w:type="dxa" w:w="2200"/>
            <w:shd w:fill="FBF0D9" w:val="clear"/>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 Conditional Pass</w:t>
            </w:r>
          </w:p>
        </w:tc>
      </w:tr>
    </w:tbl>
    <w:p>
      <w:pPr>
        <w:pStyle w:val="Heading1"/>
        <w:pageBreakBefore/>
        <w:pBdr>
          <w:bottom w:val="single" w:color="B9862F" w:sz="8" w:space="4"/>
        </w:pBdr>
        <w:spacing w:after="180" w:before="420"/>
      </w:pPr>
      <w:r>
        <w:rPr>
          <w:rFonts w:ascii="Calibri" w:cs="Calibri" w:eastAsia="Calibri" w:hAnsi="Calibri"/>
          <w:b/>
          <w:bCs/>
          <w:color w:val="0B1F3A"/>
          <w:sz w:val="30"/>
          <w:szCs w:val="30"/>
        </w:rPr>
        <w:t xml:space="preserve">15. 30-Day Action Plan</w:t>
      </w:r>
    </w:p>
    <w:p>
      <w:pPr>
        <w:pStyle w:val="Heading2"/>
        <w:spacing w:after="120" w:before="300"/>
      </w:pPr>
      <w:r>
        <w:rPr>
          <w:rFonts w:ascii="Calibri" w:cs="Calibri" w:eastAsia="Calibri" w:hAnsi="Calibri"/>
          <w:b/>
          <w:bCs/>
          <w:color w:val="16335C"/>
          <w:sz w:val="24"/>
          <w:szCs w:val="24"/>
        </w:rPr>
        <w:t xml:space="preserve">Week 1 — Buyer Discovery</w:t>
      </w:r>
    </w:p>
    <w:p>
      <w:pPr>
        <w:pStyle w:val="ListParagraph"/>
        <w:numPr>
          <w:ilvl w:val="0"/>
          <w:numId w:val="2"/>
        </w:numPr>
        <w:spacing w:after="80"/>
      </w:pPr>
      <w:r>
        <w:rPr>
          <w:rFonts w:ascii="Calibri" w:cs="Calibri" w:eastAsia="Calibri" w:hAnsi="Calibri"/>
          <w:color w:val="3A3A3A"/>
          <w:sz w:val="21"/>
          <w:szCs w:val="21"/>
        </w:rPr>
        <w:t xml:space="preserve">Identify and reach out to 20 target contacts (10 college registrars/admissions heads, 10 TA managers/agency owners) via LinkedIn and personal/faculty network</w:t>
      </w:r>
    </w:p>
    <w:p>
      <w:pPr>
        <w:pStyle w:val="ListParagraph"/>
        <w:numPr>
          <w:ilvl w:val="0"/>
          <w:numId w:val="2"/>
        </w:numPr>
        <w:spacing w:after="80"/>
      </w:pPr>
      <w:r>
        <w:rPr>
          <w:rFonts w:ascii="Calibri" w:cs="Calibri" w:eastAsia="Calibri" w:hAnsi="Calibri"/>
          <w:color w:val="3A3A3A"/>
          <w:sz w:val="21"/>
          <w:szCs w:val="21"/>
        </w:rPr>
        <w:t xml:space="preserve">Run 8–10 structured problem-interview calls; capture current process, cost of manual verification, and past fraud incidents</w:t>
      </w:r>
    </w:p>
    <w:p>
      <w:pPr>
        <w:pStyle w:val="ListParagraph"/>
        <w:numPr>
          <w:ilvl w:val="0"/>
          <w:numId w:val="2"/>
        </w:numPr>
        <w:spacing w:after="80"/>
      </w:pPr>
      <w:r>
        <w:rPr>
          <w:rFonts w:ascii="Calibri" w:cs="Calibri" w:eastAsia="Calibri" w:hAnsi="Calibri"/>
          <w:color w:val="3A3A3A"/>
          <w:sz w:val="21"/>
          <w:szCs w:val="21"/>
        </w:rPr>
        <w:t xml:space="preserve">Draft a one-page pilot-offer document (scope, free/low-cost pilot terms, success metrics)</w:t>
      </w:r>
    </w:p>
    <w:p>
      <w:pPr>
        <w:pStyle w:val="Heading2"/>
        <w:spacing w:after="120" w:before="300"/>
      </w:pPr>
      <w:r>
        <w:rPr>
          <w:rFonts w:ascii="Calibri" w:cs="Calibri" w:eastAsia="Calibri" w:hAnsi="Calibri"/>
          <w:b/>
          <w:bCs/>
          <w:color w:val="16335C"/>
          <w:sz w:val="24"/>
          <w:szCs w:val="24"/>
        </w:rPr>
        <w:t xml:space="preserve">Week 2 — Pilot Recruitment</w:t>
      </w:r>
    </w:p>
    <w:p>
      <w:pPr>
        <w:pStyle w:val="ListParagraph"/>
        <w:numPr>
          <w:ilvl w:val="0"/>
          <w:numId w:val="2"/>
        </w:numPr>
        <w:spacing w:after="80"/>
      </w:pPr>
      <w:r>
        <w:rPr>
          <w:rFonts w:ascii="Calibri" w:cs="Calibri" w:eastAsia="Calibri" w:hAnsi="Calibri"/>
          <w:color w:val="3A3A3A"/>
          <w:sz w:val="21"/>
          <w:szCs w:val="21"/>
        </w:rPr>
        <w:t xml:space="preserve">Convert at least 3 interview contacts into pilot commitments (1 college, 1 recruitment agency, 1 corporate HR team if possible)</w:t>
      </w:r>
    </w:p>
    <w:p>
      <w:pPr>
        <w:pStyle w:val="ListParagraph"/>
        <w:numPr>
          <w:ilvl w:val="0"/>
          <w:numId w:val="2"/>
        </w:numPr>
        <w:spacing w:after="80"/>
      </w:pPr>
      <w:r>
        <w:rPr>
          <w:rFonts w:ascii="Calibri" w:cs="Calibri" w:eastAsia="Calibri" w:hAnsi="Calibri"/>
          <w:color w:val="3A3A3A"/>
          <w:sz w:val="21"/>
          <w:szCs w:val="21"/>
        </w:rPr>
        <w:t xml:space="preserve">Collect a batch of historical/anonymised certificates (mix of genuine and known-fraudulent, if available) to stress-test the model</w:t>
      </w:r>
    </w:p>
    <w:p>
      <w:pPr>
        <w:pStyle w:val="ListParagraph"/>
        <w:numPr>
          <w:ilvl w:val="0"/>
          <w:numId w:val="2"/>
        </w:numPr>
        <w:spacing w:after="80"/>
      </w:pPr>
      <w:r>
        <w:rPr>
          <w:rFonts w:ascii="Calibri" w:cs="Calibri" w:eastAsia="Calibri" w:hAnsi="Calibri"/>
          <w:color w:val="3A3A3A"/>
          <w:sz w:val="21"/>
          <w:szCs w:val="21"/>
        </w:rPr>
        <w:t xml:space="preserve">Define and document accuracy benchmarks (precision, recall, false-positive rate) you will report back to pilot partners</w:t>
      </w:r>
    </w:p>
    <w:p>
      <w:pPr>
        <w:pStyle w:val="Heading2"/>
        <w:spacing w:after="120" w:before="300"/>
      </w:pPr>
      <w:r>
        <w:rPr>
          <w:rFonts w:ascii="Calibri" w:cs="Calibri" w:eastAsia="Calibri" w:hAnsi="Calibri"/>
          <w:b/>
          <w:bCs/>
          <w:color w:val="16335C"/>
          <w:sz w:val="24"/>
          <w:szCs w:val="24"/>
        </w:rPr>
        <w:t xml:space="preserve">Week 3 — Pilot Execution</w:t>
      </w:r>
    </w:p>
    <w:p>
      <w:pPr>
        <w:pStyle w:val="ListParagraph"/>
        <w:numPr>
          <w:ilvl w:val="0"/>
          <w:numId w:val="2"/>
        </w:numPr>
        <w:spacing w:after="80"/>
      </w:pPr>
      <w:r>
        <w:rPr>
          <w:rFonts w:ascii="Calibri" w:cs="Calibri" w:eastAsia="Calibri" w:hAnsi="Calibri"/>
          <w:color w:val="3A3A3A"/>
          <w:sz w:val="21"/>
          <w:szCs w:val="21"/>
        </w:rPr>
        <w:t xml:space="preserve">Run the prototype against the pilot document batches; log turnaround time and flagged cases</w:t>
      </w:r>
    </w:p>
    <w:p>
      <w:pPr>
        <w:pStyle w:val="ListParagraph"/>
        <w:numPr>
          <w:ilvl w:val="0"/>
          <w:numId w:val="2"/>
        </w:numPr>
        <w:spacing w:after="80"/>
      </w:pPr>
      <w:r>
        <w:rPr>
          <w:rFonts w:ascii="Calibri" w:cs="Calibri" w:eastAsia="Calibri" w:hAnsi="Calibri"/>
          <w:color w:val="3A3A3A"/>
          <w:sz w:val="21"/>
          <w:szCs w:val="21"/>
        </w:rPr>
        <w:t xml:space="preserve">Hold a mid-pilot check-in with each partner to gather qualitative feedback on trust, usability, and reporting format</w:t>
      </w:r>
    </w:p>
    <w:p>
      <w:pPr>
        <w:pStyle w:val="ListParagraph"/>
        <w:numPr>
          <w:ilvl w:val="0"/>
          <w:numId w:val="2"/>
        </w:numPr>
        <w:spacing w:after="80"/>
      </w:pPr>
      <w:r>
        <w:rPr>
          <w:rFonts w:ascii="Calibri" w:cs="Calibri" w:eastAsia="Calibri" w:hAnsi="Calibri"/>
          <w:color w:val="3A3A3A"/>
          <w:sz w:val="21"/>
          <w:szCs w:val="21"/>
        </w:rPr>
        <w:t xml:space="preserve">Begin drafting a simple pricing model (per-check vs. subscription) based on partner budget conversations</w:t>
      </w:r>
    </w:p>
    <w:p>
      <w:pPr>
        <w:pStyle w:val="Heading2"/>
        <w:spacing w:after="120" w:before="300"/>
      </w:pPr>
      <w:r>
        <w:rPr>
          <w:rFonts w:ascii="Calibri" w:cs="Calibri" w:eastAsia="Calibri" w:hAnsi="Calibri"/>
          <w:b/>
          <w:bCs/>
          <w:color w:val="16335C"/>
          <w:sz w:val="24"/>
          <w:szCs w:val="24"/>
        </w:rPr>
        <w:t xml:space="preserve">Week 4 — Synthesis &amp; Decision</w:t>
      </w:r>
    </w:p>
    <w:p>
      <w:pPr>
        <w:pStyle w:val="ListParagraph"/>
        <w:numPr>
          <w:ilvl w:val="0"/>
          <w:numId w:val="2"/>
        </w:numPr>
        <w:spacing w:after="80"/>
      </w:pPr>
      <w:r>
        <w:rPr>
          <w:rFonts w:ascii="Calibri" w:cs="Calibri" w:eastAsia="Calibri" w:hAnsi="Calibri"/>
          <w:color w:val="3A3A3A"/>
          <w:sz w:val="21"/>
          <w:szCs w:val="21"/>
        </w:rPr>
        <w:t xml:space="preserve">Compile pilot results into a short outcomes report (accuracy, time saved, partner feedback, willingness-to-pay signal)</w:t>
      </w:r>
    </w:p>
    <w:p>
      <w:pPr>
        <w:pStyle w:val="ListParagraph"/>
        <w:numPr>
          <w:ilvl w:val="0"/>
          <w:numId w:val="2"/>
        </w:numPr>
        <w:spacing w:after="80"/>
      </w:pPr>
      <w:r>
        <w:rPr>
          <w:rFonts w:ascii="Calibri" w:cs="Calibri" w:eastAsia="Calibri" w:hAnsi="Calibri"/>
          <w:color w:val="3A3A3A"/>
          <w:sz w:val="21"/>
          <w:szCs w:val="21"/>
        </w:rPr>
        <w:t xml:space="preserve">Revisit the Go/No-Go framework in Section 14 with real data replacing assumptions</w:t>
      </w:r>
    </w:p>
    <w:p>
      <w:pPr>
        <w:pStyle w:val="ListParagraph"/>
        <w:numPr>
          <w:ilvl w:val="0"/>
          <w:numId w:val="2"/>
        </w:numPr>
        <w:spacing w:after="80"/>
      </w:pPr>
      <w:r>
        <w:rPr>
          <w:rFonts w:ascii="Calibri" w:cs="Calibri" w:eastAsia="Calibri" w:hAnsi="Calibri"/>
          <w:color w:val="3A3A3A"/>
          <w:sz w:val="21"/>
          <w:szCs w:val="21"/>
        </w:rPr>
        <w:t xml:space="preserve">Decide next step: pursue an accelerator/incubator application, approach angel investors, recruit a GTM-focused co-founder, or extend the pilot phase</w:t>
      </w:r>
    </w:p>
    <w:p>
      <w:pPr>
        <w:spacing w:after="100"/>
      </w:pPr>
    </w:p>
    <w:p>
      <w:pPr>
        <w:spacing w:after="100" w:before="200"/>
      </w:pPr>
      <w:r>
        <w:rPr>
          <w:rFonts w:ascii="Calibri" w:cs="Calibri" w:eastAsia="Calibri" w:hAnsi="Calibri"/>
          <w:b/>
          <w:bCs/>
          <w:color w:val="B9862F"/>
          <w:sz w:val="21"/>
          <w:szCs w:val="21"/>
        </w:rPr>
        <w:t xml:space="preserve">30-Day Milestone Summary</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5000"/>
        <w:gridCol w:w="3200"/>
      </w:tblGrid>
      <w:tr>
        <w:trPr>
          <w:tblHeader/>
        </w:trPr>
        <w:tc>
          <w:tcPr>
            <w:tcW w:type="dxa" w:w="14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Week</w:t>
            </w:r>
          </w:p>
        </w:tc>
        <w:tc>
          <w:tcPr>
            <w:tcW w:type="dxa" w:w="50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Primary Goal</w:t>
            </w:r>
          </w:p>
        </w:tc>
        <w:tc>
          <w:tcPr>
            <w:tcW w:type="dxa" w:w="3200"/>
            <w:shd w:fill="0B1F3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Success Metric</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1</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Buyer discovery</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8–10 completed problem interviews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2</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Pilot recruitment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 signed pilot commitments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3</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Pilot execution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Pilot batches processed + benchmark data logged</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4</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Synthesis &amp; decision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3A3A3A"/>
                <w:sz w:val="19"/>
                <w:szCs w:val="19"/>
              </w:rPr>
              <w:t xml:space="preserve">Outcomes report + updated Go/No-Go decision</w:t>
            </w:r>
          </w:p>
        </w:tc>
      </w:tr>
    </w:tbl>
    <w:p>
      <w:pPr>
        <w:spacing w:after="160"/>
      </w:pPr>
    </w:p>
    <w:p>
      <w:pPr>
        <w:spacing w:after="140" w:line="288"/>
        <w:jc w:val="both"/>
      </w:pPr>
      <w:r>
        <w:rPr>
          <w:rFonts w:ascii="Calibri" w:cs="Calibri" w:eastAsia="Calibri" w:hAnsi="Calibri"/>
          <w:b w:val="false"/>
          <w:bCs w:val="false"/>
          <w:i/>
          <w:iCs/>
          <w:color w:val="3A3A3A"/>
          <w:sz w:val="21"/>
          <w:szCs w:val="21"/>
        </w:rPr>
        <w:t xml:space="preserve">This report is based on publicly available market data (as of July 2026) and information provided by the founder. It is intended as a structured decision-support tool, not a guarantee of business outcomes. Market figures should be re-validated as primary research (interviews, pilots) becomes available.</w:t>
      </w:r>
    </w:p>
    <w:sectPr>
      <w:headerReference w:type="default" r:id="rId7"/>
      <w:footerReference w:type="default" r:id="rId8"/>
      <w:pgSz w:w="12240" w:h="15840"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Page </w:t>
    </w:r>
    <w:r>
      <w:rPr>
        <w:rFonts w:ascii="Calibri" w:cs="Calibri" w:eastAsia="Calibri" w:hAnsi="Calibri"/>
        <w:color w:val="6B6B6B"/>
        <w:sz w:val="15"/>
        <w:szCs w:val="15"/>
      </w:rPr>
      <w:fldChar w:fldCharType="begin"/>
      <w:instrText xml:space="preserve">PAGE</w:instrText>
      <w:fldChar w:fldCharType="separate"/>
      <w:fldChar w:fldCharType="end"/>
    </w:r>
    <w:r>
      <w:rPr>
        <w:rFonts w:ascii="Calibri" w:cs="Calibri" w:eastAsia="Calibri" w:hAnsi="Calibri"/>
        <w:color w:val="6B6B6B"/>
        <w:sz w:val="15"/>
        <w:szCs w:val="15"/>
      </w:rPr>
      <w:t xml:space="preserve"> of </w:t>
    </w:r>
    <w:r>
      <w:rPr>
        <w:rFonts w:ascii="Calibri" w:cs="Calibri" w:eastAsia="Calibri" w:hAnsi="Calibri"/>
        <w:color w:val="6B6B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6B6B"/>
        <w:sz w:val="15"/>
        <w:szCs w:val="15"/>
      </w:rPr>
      <w:t xml:space="preserve">CertiVerify AI — Startup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2026-07-20T13:16:06.956Z</dcterms:created>
  <dcterms:modified xsi:type="dcterms:W3CDTF">2026-07-20T13:16:06.974Z</dcterms:modified>
</cp:coreProperties>
</file>

<file path=docProps/custom.xml><?xml version="1.0" encoding="utf-8"?>
<Properties xmlns="http://schemas.openxmlformats.org/officeDocument/2006/custom-properties" xmlns:vt="http://schemas.openxmlformats.org/officeDocument/2006/docPropsVTypes"/>
</file>