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A1" w:rsidRDefault="00DA53A1" w:rsidP="00DA53A1">
      <w:pPr>
        <w:spacing w:before="150"/>
        <w:rPr>
          <w:rFonts w:ascii="Segoe UI" w:hAnsi="Segoe UI" w:cs="Segoe UI"/>
          <w:b/>
          <w:bCs/>
          <w:color w:val="172B4D"/>
        </w:rPr>
      </w:pPr>
      <w:r>
        <w:rPr>
          <w:rFonts w:ascii="Segoe UI" w:hAnsi="Segoe UI" w:cs="Segoe UI"/>
          <w:b/>
          <w:bCs/>
          <w:color w:val="172B4D"/>
        </w:rPr>
        <w:t xml:space="preserve">Overview of Digital Payments in </w:t>
      </w:r>
      <w:proofErr w:type="gramStart"/>
      <w:r>
        <w:rPr>
          <w:rFonts w:ascii="Segoe UI" w:hAnsi="Segoe UI" w:cs="Segoe UI"/>
          <w:b/>
          <w:bCs/>
          <w:color w:val="172B4D"/>
        </w:rPr>
        <w:t>Mastercard :</w:t>
      </w:r>
      <w:proofErr w:type="gramEnd"/>
    </w:p>
    <w:p w:rsidR="00DA53A1" w:rsidRDefault="00DA53A1" w:rsidP="00DA53A1">
      <w:pPr>
        <w:spacing w:before="150"/>
        <w:rPr>
          <w:rFonts w:ascii="Segoe UI" w:hAnsi="Segoe UI" w:cs="Segoe UI"/>
          <w:color w:val="172B4D"/>
        </w:rPr>
      </w:pPr>
      <w:r>
        <w:rPr>
          <w:rFonts w:ascii="Segoe UI" w:hAnsi="Segoe UI" w:cs="Segoe UI"/>
          <w:color w:val="172B4D"/>
        </w:rPr>
        <w:t>Digital Payments in Mastercard falls into two different categories –</w:t>
      </w:r>
    </w:p>
    <w:p w:rsidR="00DA53A1" w:rsidRDefault="00DA53A1" w:rsidP="00DA53A1">
      <w:pPr>
        <w:pStyle w:val="ListParagraph"/>
        <w:numPr>
          <w:ilvl w:val="0"/>
          <w:numId w:val="1"/>
        </w:numPr>
        <w:spacing w:before="150"/>
        <w:rPr>
          <w:rFonts w:ascii="Segoe UI" w:hAnsi="Segoe UI" w:cs="Segoe UI"/>
          <w:color w:val="172B4D"/>
        </w:rPr>
      </w:pPr>
      <w:r>
        <w:rPr>
          <w:rFonts w:ascii="Segoe UI" w:hAnsi="Segoe UI" w:cs="Segoe UI"/>
          <w:color w:val="172B4D"/>
        </w:rPr>
        <w:t>Digital Wallet Solutions</w:t>
      </w:r>
    </w:p>
    <w:p w:rsidR="00DA53A1" w:rsidRDefault="00DA53A1" w:rsidP="00DA53A1">
      <w:pPr>
        <w:pStyle w:val="ListParagraph"/>
        <w:numPr>
          <w:ilvl w:val="0"/>
          <w:numId w:val="1"/>
        </w:numPr>
        <w:spacing w:before="150"/>
        <w:rPr>
          <w:rFonts w:ascii="Segoe UI" w:hAnsi="Segoe UI" w:cs="Segoe UI"/>
          <w:color w:val="172B4D"/>
        </w:rPr>
      </w:pPr>
      <w:r>
        <w:rPr>
          <w:rFonts w:ascii="Segoe UI" w:hAnsi="Segoe UI" w:cs="Segoe UI"/>
          <w:color w:val="172B4D"/>
        </w:rPr>
        <w:t xml:space="preserve">MDES( Mastercard digital enablement services) </w:t>
      </w:r>
    </w:p>
    <w:p w:rsidR="00DA53A1" w:rsidRDefault="00DA53A1" w:rsidP="00DA53A1">
      <w:pPr>
        <w:spacing w:before="150"/>
        <w:rPr>
          <w:rFonts w:ascii="Segoe UI" w:hAnsi="Segoe UI" w:cs="Segoe UI"/>
          <w:color w:val="172B4D"/>
        </w:rPr>
      </w:pPr>
    </w:p>
    <w:p w:rsidR="00DA53A1" w:rsidRDefault="00DA53A1" w:rsidP="00DA53A1">
      <w:pPr>
        <w:pStyle w:val="ListParagraph"/>
        <w:numPr>
          <w:ilvl w:val="0"/>
          <w:numId w:val="2"/>
        </w:numPr>
        <w:spacing w:before="150"/>
        <w:rPr>
          <w:rFonts w:ascii="Segoe UI" w:hAnsi="Segoe UI" w:cs="Segoe UI"/>
          <w:b/>
          <w:bCs/>
          <w:color w:val="172B4D"/>
        </w:rPr>
      </w:pPr>
      <w:r>
        <w:rPr>
          <w:rFonts w:ascii="Segoe UI" w:hAnsi="Segoe UI" w:cs="Segoe UI"/>
          <w:b/>
          <w:bCs/>
          <w:color w:val="172B4D"/>
        </w:rPr>
        <w:t xml:space="preserve">Digital Wallet Solutions/Masterpass – </w:t>
      </w:r>
    </w:p>
    <w:p w:rsidR="00DA53A1" w:rsidRDefault="00DA53A1" w:rsidP="00DA53A1">
      <w:pPr>
        <w:pStyle w:val="ListParagraph"/>
        <w:spacing w:before="150"/>
        <w:rPr>
          <w:rFonts w:ascii="Segoe UI" w:hAnsi="Segoe UI" w:cs="Segoe UI"/>
          <w:color w:val="172B4D"/>
        </w:rPr>
      </w:pPr>
      <w:r>
        <w:rPr>
          <w:rFonts w:ascii="Segoe UI" w:hAnsi="Segoe UI" w:cs="Segoe UI"/>
          <w:color w:val="172B4D"/>
        </w:rPr>
        <w:t xml:space="preserve">Overview: As the name wallet </w:t>
      </w:r>
      <w:proofErr w:type="gramStart"/>
      <w:r>
        <w:rPr>
          <w:rFonts w:ascii="Segoe UI" w:hAnsi="Segoe UI" w:cs="Segoe UI"/>
          <w:color w:val="172B4D"/>
        </w:rPr>
        <w:t>suggests ,</w:t>
      </w:r>
      <w:proofErr w:type="gramEnd"/>
      <w:r>
        <w:rPr>
          <w:rFonts w:ascii="Segoe UI" w:hAnsi="Segoe UI" w:cs="Segoe UI"/>
          <w:color w:val="172B4D"/>
        </w:rPr>
        <w:t xml:space="preserve"> it is used to store card details of a user securely in a digital way and transfer the card details to merchant during checkout for payment processing. All the digital wallets is a part of Masterpass umbrella.</w:t>
      </w:r>
    </w:p>
    <w:p w:rsidR="00DA53A1" w:rsidRDefault="00DA53A1" w:rsidP="00DA53A1">
      <w:pPr>
        <w:pStyle w:val="ListParagraph"/>
        <w:spacing w:before="150"/>
        <w:rPr>
          <w:rFonts w:ascii="Segoe UI" w:hAnsi="Segoe UI" w:cs="Segoe UI"/>
          <w:color w:val="172B4D"/>
        </w:rPr>
      </w:pPr>
      <w:r>
        <w:rPr>
          <w:rFonts w:ascii="Segoe UI" w:hAnsi="Segoe UI" w:cs="Segoe UI"/>
          <w:color w:val="172B4D"/>
        </w:rPr>
        <w:t xml:space="preserve">As part of Mastercard business strategy for </w:t>
      </w:r>
      <w:proofErr w:type="gramStart"/>
      <w:r>
        <w:rPr>
          <w:rFonts w:ascii="Segoe UI" w:hAnsi="Segoe UI" w:cs="Segoe UI"/>
          <w:color w:val="172B4D"/>
        </w:rPr>
        <w:t>wallet ,</w:t>
      </w:r>
      <w:proofErr w:type="gramEnd"/>
      <w:r>
        <w:rPr>
          <w:rFonts w:ascii="Segoe UI" w:hAnsi="Segoe UI" w:cs="Segoe UI"/>
          <w:color w:val="172B4D"/>
        </w:rPr>
        <w:t xml:space="preserve"> Mastercard is B2B  with the bank and bank goes B2C with the customer . So Mastercard has built wallet solutions for different banks and user card data is stored in these wallets separately based on which issuer bank card is used. So </w:t>
      </w:r>
      <w:proofErr w:type="spellStart"/>
      <w:r>
        <w:rPr>
          <w:rFonts w:ascii="Segoe UI" w:hAnsi="Segoe UI" w:cs="Segoe UI"/>
          <w:color w:val="172B4D"/>
        </w:rPr>
        <w:t>e.g</w:t>
      </w:r>
      <w:proofErr w:type="spellEnd"/>
      <w:r>
        <w:rPr>
          <w:rFonts w:ascii="Segoe UI" w:hAnsi="Segoe UI" w:cs="Segoe UI"/>
          <w:color w:val="172B4D"/>
        </w:rPr>
        <w:t xml:space="preserve"> – </w:t>
      </w:r>
      <w:proofErr w:type="spellStart"/>
      <w:r>
        <w:rPr>
          <w:rFonts w:ascii="Segoe UI" w:hAnsi="Segoe UI" w:cs="Segoe UI"/>
          <w:color w:val="172B4D"/>
        </w:rPr>
        <w:t>citi</w:t>
      </w:r>
      <w:proofErr w:type="spellEnd"/>
      <w:r>
        <w:rPr>
          <w:rFonts w:ascii="Segoe UI" w:hAnsi="Segoe UI" w:cs="Segoe UI"/>
          <w:color w:val="172B4D"/>
        </w:rPr>
        <w:t xml:space="preserve"> bank customer data will be stored in Lion wallet created by Mastercard on behalf of Citi </w:t>
      </w:r>
      <w:proofErr w:type="gramStart"/>
      <w:r>
        <w:rPr>
          <w:rFonts w:ascii="Segoe UI" w:hAnsi="Segoe UI" w:cs="Segoe UI"/>
          <w:color w:val="172B4D"/>
        </w:rPr>
        <w:t>Bank .</w:t>
      </w:r>
      <w:proofErr w:type="gramEnd"/>
    </w:p>
    <w:p w:rsidR="00DA53A1" w:rsidRDefault="00DA53A1" w:rsidP="00DA53A1">
      <w:pPr>
        <w:pStyle w:val="ListParagraph"/>
        <w:spacing w:before="150"/>
        <w:rPr>
          <w:rFonts w:ascii="Segoe UI" w:hAnsi="Segoe UI" w:cs="Segoe UI"/>
          <w:color w:val="172B4D"/>
        </w:rPr>
      </w:pPr>
      <w:r>
        <w:rPr>
          <w:rFonts w:ascii="Segoe UI" w:hAnsi="Segoe UI" w:cs="Segoe UI"/>
          <w:color w:val="172B4D"/>
        </w:rPr>
        <w:t>When registered customer click on “Buy with Masterpass</w:t>
      </w:r>
      <w:proofErr w:type="gramStart"/>
      <w:r>
        <w:rPr>
          <w:rFonts w:ascii="Segoe UI" w:hAnsi="Segoe UI" w:cs="Segoe UI"/>
          <w:color w:val="172B4D"/>
        </w:rPr>
        <w:t>”  button</w:t>
      </w:r>
      <w:proofErr w:type="gramEnd"/>
      <w:r>
        <w:rPr>
          <w:rFonts w:ascii="Segoe UI" w:hAnsi="Segoe UI" w:cs="Segoe UI"/>
          <w:color w:val="172B4D"/>
        </w:rPr>
        <w:t xml:space="preserve"> in the merchant website , customer will be redirected to different based on which bank that customer belongs to.</w:t>
      </w:r>
    </w:p>
    <w:p w:rsidR="00DA53A1" w:rsidRDefault="00DA53A1" w:rsidP="00DA53A1">
      <w:pPr>
        <w:pStyle w:val="ListParagraph"/>
        <w:spacing w:before="150"/>
        <w:rPr>
          <w:rFonts w:ascii="Segoe UI" w:hAnsi="Segoe UI" w:cs="Segoe UI"/>
          <w:b/>
          <w:bCs/>
          <w:color w:val="172B4D"/>
        </w:rPr>
      </w:pPr>
      <w:r>
        <w:rPr>
          <w:rFonts w:ascii="Segoe UI" w:hAnsi="Segoe UI" w:cs="Segoe UI"/>
          <w:b/>
          <w:bCs/>
          <w:color w:val="172B4D"/>
        </w:rPr>
        <w:t xml:space="preserve">Technology Used – </w:t>
      </w:r>
    </w:p>
    <w:p w:rsidR="00DA53A1" w:rsidRDefault="00DA53A1" w:rsidP="00DA53A1">
      <w:pPr>
        <w:pStyle w:val="ListParagraph"/>
        <w:spacing w:before="150"/>
        <w:ind w:left="1440"/>
        <w:rPr>
          <w:rFonts w:ascii="Segoe UI" w:hAnsi="Segoe UI" w:cs="Segoe UI"/>
          <w:color w:val="172B4D"/>
        </w:rPr>
      </w:pPr>
      <w:r>
        <w:rPr>
          <w:rFonts w:ascii="Segoe UI" w:hAnsi="Segoe UI" w:cs="Segoe UI"/>
          <w:color w:val="172B4D"/>
        </w:rPr>
        <w:t>Front End – Angular JS</w:t>
      </w:r>
    </w:p>
    <w:p w:rsidR="00DA53A1" w:rsidRDefault="00DA53A1" w:rsidP="00DA53A1">
      <w:pPr>
        <w:pStyle w:val="ListParagraph"/>
        <w:spacing w:before="150"/>
        <w:ind w:left="1440"/>
        <w:rPr>
          <w:rFonts w:ascii="Segoe UI" w:hAnsi="Segoe UI" w:cs="Segoe UI"/>
          <w:color w:val="172B4D"/>
        </w:rPr>
      </w:pPr>
      <w:r>
        <w:rPr>
          <w:rFonts w:ascii="Segoe UI" w:hAnsi="Segoe UI" w:cs="Segoe UI"/>
          <w:color w:val="172B4D"/>
        </w:rPr>
        <w:t>Backend – Each of these wallets are monolithic application developed in Spring Hibernate. F5 load balancer -&gt; Apache web server -</w:t>
      </w:r>
      <w:proofErr w:type="gramStart"/>
      <w:r>
        <w:rPr>
          <w:rFonts w:ascii="Segoe UI" w:hAnsi="Segoe UI" w:cs="Segoe UI"/>
          <w:color w:val="172B4D"/>
        </w:rPr>
        <w:t>&gt;  </w:t>
      </w:r>
      <w:proofErr w:type="spellStart"/>
      <w:r>
        <w:rPr>
          <w:rFonts w:ascii="Segoe UI" w:hAnsi="Segoe UI" w:cs="Segoe UI"/>
          <w:color w:val="172B4D"/>
        </w:rPr>
        <w:t>JBoss</w:t>
      </w:r>
      <w:proofErr w:type="spellEnd"/>
      <w:proofErr w:type="gramEnd"/>
      <w:r>
        <w:rPr>
          <w:rFonts w:ascii="Segoe UI" w:hAnsi="Segoe UI" w:cs="Segoe UI"/>
          <w:color w:val="172B4D"/>
        </w:rPr>
        <w:t xml:space="preserve"> Server - &gt; Oracle database.</w:t>
      </w:r>
    </w:p>
    <w:p w:rsidR="00DA53A1" w:rsidRDefault="00DA53A1" w:rsidP="00DA53A1">
      <w:pPr>
        <w:pStyle w:val="ListParagraph"/>
        <w:spacing w:before="150"/>
        <w:ind w:left="1440"/>
        <w:rPr>
          <w:rFonts w:ascii="Segoe UI" w:hAnsi="Segoe UI" w:cs="Segoe UI"/>
          <w:color w:val="172B4D"/>
        </w:rPr>
      </w:pPr>
      <w:r>
        <w:rPr>
          <w:noProof/>
        </w:rPr>
        <w:drawing>
          <wp:inline distT="0" distB="0" distL="0" distR="0">
            <wp:extent cx="5471160" cy="1729740"/>
            <wp:effectExtent l="0" t="0" r="0" b="3810"/>
            <wp:docPr id="5" name="Picture 5" descr="cid:image006.jpg@01D4BCFD.6227F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D4BCFD.6227F2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471160" cy="1729740"/>
                    </a:xfrm>
                    <a:prstGeom prst="rect">
                      <a:avLst/>
                    </a:prstGeom>
                    <a:noFill/>
                    <a:ln>
                      <a:noFill/>
                    </a:ln>
                  </pic:spPr>
                </pic:pic>
              </a:graphicData>
            </a:graphic>
          </wp:inline>
        </w:drawing>
      </w:r>
    </w:p>
    <w:p w:rsidR="00DA53A1" w:rsidRDefault="00DA53A1" w:rsidP="00DA53A1">
      <w:pPr>
        <w:pStyle w:val="ListParagraph"/>
        <w:spacing w:before="150"/>
        <w:rPr>
          <w:rFonts w:ascii="Segoe UI" w:hAnsi="Segoe UI" w:cs="Segoe UI"/>
          <w:color w:val="172B4D"/>
        </w:rPr>
      </w:pPr>
    </w:p>
    <w:p w:rsidR="00DA53A1" w:rsidRDefault="00DA53A1" w:rsidP="00DA53A1">
      <w:pPr>
        <w:pStyle w:val="ListParagraph"/>
        <w:spacing w:before="150"/>
        <w:rPr>
          <w:rFonts w:ascii="Segoe UI" w:hAnsi="Segoe UI" w:cs="Segoe UI"/>
          <w:color w:val="172B4D"/>
        </w:rPr>
      </w:pPr>
      <w:r>
        <w:rPr>
          <w:rFonts w:ascii="Segoe UI" w:hAnsi="Segoe UI" w:cs="Segoe UI"/>
          <w:color w:val="172B4D"/>
        </w:rPr>
        <w:t xml:space="preserve">All the digital wallet makes API call to </w:t>
      </w:r>
      <w:proofErr w:type="spellStart"/>
      <w:proofErr w:type="gramStart"/>
      <w:r>
        <w:rPr>
          <w:rFonts w:ascii="Segoe UI" w:hAnsi="Segoe UI" w:cs="Segoe UI"/>
          <w:color w:val="172B4D"/>
        </w:rPr>
        <w:t>CaaS</w:t>
      </w:r>
      <w:proofErr w:type="spellEnd"/>
      <w:r>
        <w:rPr>
          <w:rFonts w:ascii="Segoe UI" w:hAnsi="Segoe UI" w:cs="Segoe UI"/>
          <w:color w:val="172B4D"/>
        </w:rPr>
        <w:t>(</w:t>
      </w:r>
      <w:proofErr w:type="gramEnd"/>
      <w:r>
        <w:rPr>
          <w:rFonts w:ascii="Segoe UI" w:hAnsi="Segoe UI" w:cs="Segoe UI"/>
          <w:color w:val="172B4D"/>
        </w:rPr>
        <w:t>Crypto as a Service) which is a HSM based crypto solution as all user data stored in the wallet will have to be encrypted.</w:t>
      </w:r>
    </w:p>
    <w:p w:rsidR="00DA53A1" w:rsidRDefault="00DA53A1" w:rsidP="00DA53A1">
      <w:pPr>
        <w:pStyle w:val="ListParagraph"/>
        <w:spacing w:before="150"/>
        <w:rPr>
          <w:rFonts w:ascii="Segoe UI" w:hAnsi="Segoe UI" w:cs="Segoe UI"/>
          <w:color w:val="172B4D"/>
        </w:rPr>
      </w:pPr>
      <w:r>
        <w:rPr>
          <w:rFonts w:ascii="Segoe UI" w:hAnsi="Segoe UI" w:cs="Segoe UI"/>
          <w:color w:val="172B4D"/>
        </w:rPr>
        <w:lastRenderedPageBreak/>
        <w:t>All transaction via digital wallet will have to do card tokenization where 16 digit card number replaced by another 16 digit along with cryptogram (Similar to chip in our debit card).</w:t>
      </w:r>
    </w:p>
    <w:p w:rsidR="00DA53A1" w:rsidRDefault="00DA53A1" w:rsidP="00DA53A1">
      <w:pPr>
        <w:pStyle w:val="ListParagraph"/>
        <w:spacing w:before="150"/>
        <w:rPr>
          <w:rFonts w:ascii="Segoe UI" w:hAnsi="Segoe UI" w:cs="Segoe UI"/>
          <w:color w:val="172B4D"/>
        </w:rPr>
      </w:pPr>
    </w:p>
    <w:p w:rsidR="00DA53A1" w:rsidRDefault="00DA53A1" w:rsidP="00DA53A1">
      <w:pPr>
        <w:pStyle w:val="ListParagraph"/>
        <w:numPr>
          <w:ilvl w:val="0"/>
          <w:numId w:val="2"/>
        </w:numPr>
        <w:spacing w:before="150"/>
        <w:rPr>
          <w:rFonts w:ascii="Segoe UI" w:hAnsi="Segoe UI" w:cs="Segoe UI"/>
          <w:b/>
          <w:bCs/>
          <w:color w:val="172B4D"/>
        </w:rPr>
      </w:pPr>
      <w:r>
        <w:rPr>
          <w:rFonts w:ascii="Segoe UI" w:hAnsi="Segoe UI" w:cs="Segoe UI"/>
          <w:b/>
          <w:bCs/>
          <w:color w:val="172B4D"/>
        </w:rPr>
        <w:t>MDES–</w:t>
      </w:r>
    </w:p>
    <w:p w:rsidR="00DA53A1" w:rsidRDefault="00DA53A1" w:rsidP="00DA53A1">
      <w:pPr>
        <w:pStyle w:val="ListParagraph"/>
        <w:spacing w:before="150"/>
        <w:rPr>
          <w:rFonts w:ascii="Segoe UI" w:hAnsi="Segoe UI" w:cs="Segoe UI"/>
          <w:color w:val="172B4D"/>
        </w:rPr>
      </w:pPr>
      <w:r>
        <w:rPr>
          <w:rFonts w:ascii="Segoe UI" w:hAnsi="Segoe UI" w:cs="Segoe UI"/>
          <w:color w:val="172B4D"/>
        </w:rPr>
        <w:t>The MasterCard Digital Enablement Service (“MDES”) is a suite of on-behalf-of services that support the management, generation, and provisioning of digital payment credentials into mobile devices, to enable simpler, more secure digital payment experiences.</w:t>
      </w:r>
    </w:p>
    <w:p w:rsidR="00DA53A1" w:rsidRDefault="00DA53A1" w:rsidP="00DA53A1">
      <w:pPr>
        <w:pStyle w:val="ListParagraph"/>
        <w:spacing w:before="150"/>
        <w:ind w:left="1440"/>
        <w:rPr>
          <w:rFonts w:ascii="Segoe UI" w:hAnsi="Segoe UI" w:cs="Segoe UI"/>
          <w:color w:val="172B4D"/>
          <w:sz w:val="36"/>
          <w:szCs w:val="36"/>
        </w:rPr>
      </w:pPr>
      <w:r>
        <w:rPr>
          <w:noProof/>
        </w:rPr>
        <w:drawing>
          <wp:inline distT="0" distB="0" distL="0" distR="0">
            <wp:extent cx="4434840" cy="1920240"/>
            <wp:effectExtent l="0" t="0" r="3810" b="3810"/>
            <wp:docPr id="4" name="Picture 4" descr="cid:image008.jpg@01D4BCFD.6227F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8.jpg@01D4BCFD.6227F2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434840" cy="1920240"/>
                    </a:xfrm>
                    <a:prstGeom prst="rect">
                      <a:avLst/>
                    </a:prstGeom>
                    <a:noFill/>
                    <a:ln>
                      <a:noFill/>
                    </a:ln>
                  </pic:spPr>
                </pic:pic>
              </a:graphicData>
            </a:graphic>
          </wp:inline>
        </w:drawing>
      </w:r>
    </w:p>
    <w:p w:rsidR="00DA53A1" w:rsidRDefault="00DA53A1" w:rsidP="00DA53A1">
      <w:pPr>
        <w:pStyle w:val="ListParagraph"/>
        <w:spacing w:before="150"/>
        <w:rPr>
          <w:rFonts w:ascii="Segoe UI" w:hAnsi="Segoe UI" w:cs="Segoe UI"/>
          <w:color w:val="0A0A0A"/>
          <w:sz w:val="21"/>
          <w:szCs w:val="21"/>
        </w:rPr>
      </w:pPr>
      <w:r>
        <w:rPr>
          <w:rFonts w:ascii="Segoe UI" w:hAnsi="Segoe UI" w:cs="Segoe UI"/>
          <w:color w:val="0A0A0A"/>
          <w:sz w:val="21"/>
          <w:szCs w:val="21"/>
        </w:rPr>
        <w:t>MDES connects issuers to digital wallets and used by Samsung pay, Google pay, Apple pay.</w:t>
      </w:r>
    </w:p>
    <w:p w:rsidR="00DA53A1" w:rsidRDefault="00DA53A1" w:rsidP="00DA53A1">
      <w:pPr>
        <w:pStyle w:val="ListParagraph"/>
        <w:spacing w:before="150"/>
        <w:rPr>
          <w:rFonts w:ascii="Segoe UI" w:hAnsi="Segoe UI" w:cs="Segoe UI"/>
          <w:color w:val="0A0A0A"/>
          <w:sz w:val="21"/>
          <w:szCs w:val="21"/>
        </w:rPr>
      </w:pPr>
      <w:r>
        <w:rPr>
          <w:rFonts w:ascii="Segoe UI" w:hAnsi="Segoe UI" w:cs="Segoe UI"/>
          <w:color w:val="0A0A0A"/>
          <w:sz w:val="21"/>
          <w:szCs w:val="21"/>
        </w:rPr>
        <w:t xml:space="preserve">MDES maps the token to the </w:t>
      </w:r>
      <w:proofErr w:type="gramStart"/>
      <w:r>
        <w:rPr>
          <w:rFonts w:ascii="Segoe UI" w:hAnsi="Segoe UI" w:cs="Segoe UI"/>
          <w:color w:val="0A0A0A"/>
          <w:sz w:val="21"/>
          <w:szCs w:val="21"/>
        </w:rPr>
        <w:t>PAN ,</w:t>
      </w:r>
      <w:proofErr w:type="gramEnd"/>
      <w:r>
        <w:rPr>
          <w:rFonts w:ascii="Segoe UI" w:hAnsi="Segoe UI" w:cs="Segoe UI"/>
          <w:color w:val="0A0A0A"/>
          <w:sz w:val="21"/>
          <w:szCs w:val="21"/>
        </w:rPr>
        <w:t xml:space="preserve"> validates the token status: state and expiry date , validates the transaction data: E.g. Cryptogram, indicates the result to the issuer.</w:t>
      </w:r>
    </w:p>
    <w:p w:rsidR="00DA53A1" w:rsidRDefault="00DA53A1" w:rsidP="00DA53A1">
      <w:pPr>
        <w:pStyle w:val="ListParagraph"/>
        <w:spacing w:before="150"/>
        <w:rPr>
          <w:rFonts w:ascii="Segoe UI" w:hAnsi="Segoe UI" w:cs="Segoe UI"/>
          <w:color w:val="172B4D"/>
          <w:sz w:val="36"/>
          <w:szCs w:val="36"/>
        </w:rPr>
      </w:pPr>
    </w:p>
    <w:p w:rsidR="00DA53A1" w:rsidRDefault="00DA53A1" w:rsidP="00DA53A1">
      <w:pPr>
        <w:spacing w:before="150"/>
        <w:rPr>
          <w:rFonts w:ascii="Segoe UI" w:hAnsi="Segoe UI" w:cs="Segoe UI"/>
          <w:b/>
          <w:bCs/>
          <w:color w:val="172B4D"/>
          <w:sz w:val="36"/>
          <w:szCs w:val="36"/>
        </w:rPr>
      </w:pPr>
      <w:r>
        <w:rPr>
          <w:rFonts w:ascii="Segoe UI" w:hAnsi="Segoe UI" w:cs="Segoe UI"/>
          <w:b/>
          <w:bCs/>
          <w:color w:val="172B4D"/>
          <w:sz w:val="36"/>
          <w:szCs w:val="36"/>
        </w:rPr>
        <w:t>SRC Overview</w:t>
      </w:r>
    </w:p>
    <w:p w:rsidR="00DA53A1" w:rsidRDefault="00DA53A1" w:rsidP="00DA53A1">
      <w:pPr>
        <w:spacing w:before="150"/>
        <w:rPr>
          <w:rFonts w:ascii="Segoe UI" w:hAnsi="Segoe UI" w:cs="Segoe UI"/>
          <w:color w:val="172B4D"/>
          <w:sz w:val="21"/>
          <w:szCs w:val="21"/>
        </w:rPr>
      </w:pPr>
      <w:r>
        <w:rPr>
          <w:rFonts w:ascii="Segoe UI" w:hAnsi="Segoe UI" w:cs="Segoe UI"/>
          <w:noProof/>
          <w:color w:val="172B4D"/>
          <w:sz w:val="21"/>
          <w:szCs w:val="21"/>
        </w:rPr>
        <w:drawing>
          <wp:inline distT="0" distB="0" distL="0" distR="0">
            <wp:extent cx="9578340" cy="2385060"/>
            <wp:effectExtent l="0" t="0" r="3810" b="0"/>
            <wp:docPr id="3" name="Picture 3" descr="https://fusion.mastercard.int/confluence/download/attachments/294624119/src-overview1.png?version=1&amp;modificationDate=153380826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94624119/src-overview1.png?version=1&amp;modificationDate=1533808267000&amp;api=v2"/>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9578340" cy="2385060"/>
                    </a:xfrm>
                    <a:prstGeom prst="rect">
                      <a:avLst/>
                    </a:prstGeom>
                    <a:noFill/>
                    <a:ln>
                      <a:noFill/>
                    </a:ln>
                  </pic:spPr>
                </pic:pic>
              </a:graphicData>
            </a:graphic>
          </wp:inline>
        </w:drawing>
      </w:r>
    </w:p>
    <w:p w:rsidR="00DA53A1" w:rsidRDefault="00DA53A1" w:rsidP="00DA53A1">
      <w:pPr>
        <w:spacing w:before="150" w:after="240"/>
        <w:rPr>
          <w:rFonts w:ascii="Segoe UI" w:hAnsi="Segoe UI" w:cs="Segoe UI"/>
          <w:color w:val="172B4D"/>
          <w:sz w:val="21"/>
          <w:szCs w:val="21"/>
        </w:rPr>
      </w:pPr>
    </w:p>
    <w:p w:rsidR="00DA53A1" w:rsidRDefault="00DA53A1" w:rsidP="00DA53A1">
      <w:pPr>
        <w:spacing w:before="150"/>
        <w:ind w:left="720"/>
        <w:rPr>
          <w:rFonts w:ascii="Segoe UI" w:hAnsi="Segoe UI" w:cs="Segoe UI"/>
          <w:color w:val="172B4D"/>
          <w:sz w:val="21"/>
          <w:szCs w:val="21"/>
        </w:rPr>
      </w:pPr>
      <w:r>
        <w:rPr>
          <w:rFonts w:ascii="Segoe UI" w:hAnsi="Segoe UI" w:cs="Segoe UI"/>
          <w:b/>
          <w:bCs/>
          <w:color w:val="0A0A0A"/>
          <w:sz w:val="21"/>
          <w:szCs w:val="21"/>
        </w:rPr>
        <w:t>Secure Remote Commerce (SRC)</w:t>
      </w:r>
      <w:r>
        <w:rPr>
          <w:rFonts w:ascii="Segoe UI" w:hAnsi="Segoe UI" w:cs="Segoe UI"/>
          <w:color w:val="0A0A0A"/>
          <w:sz w:val="21"/>
          <w:szCs w:val="21"/>
        </w:rPr>
        <w:t> is a common approach that provides security and interoperability to deliver the safest card payment experience in a remote environment. It aims to enable the secure exchange of payment information through common interfaces between participating entities, which may include, for example, merchants and issuers.</w:t>
      </w:r>
    </w:p>
    <w:p w:rsidR="00DA53A1" w:rsidRDefault="00DA53A1" w:rsidP="00DA53A1">
      <w:pPr>
        <w:spacing w:before="150" w:after="240"/>
        <w:ind w:left="720"/>
        <w:rPr>
          <w:rFonts w:ascii="Segoe UI" w:hAnsi="Segoe UI" w:cs="Segoe UI"/>
          <w:color w:val="172B4D"/>
          <w:sz w:val="21"/>
          <w:szCs w:val="21"/>
        </w:rPr>
      </w:pPr>
    </w:p>
    <w:p w:rsidR="00DA53A1" w:rsidRDefault="00DA53A1" w:rsidP="00DA53A1">
      <w:pPr>
        <w:spacing w:before="150"/>
        <w:rPr>
          <w:rFonts w:ascii="Segoe UI" w:hAnsi="Segoe UI" w:cs="Segoe UI"/>
          <w:color w:val="172B4D"/>
          <w:sz w:val="21"/>
          <w:szCs w:val="21"/>
        </w:rPr>
      </w:pPr>
    </w:p>
    <w:p w:rsidR="00DA53A1" w:rsidRDefault="00DA53A1" w:rsidP="00DA53A1">
      <w:pPr>
        <w:spacing w:before="150"/>
        <w:rPr>
          <w:rFonts w:ascii="Segoe UI" w:hAnsi="Segoe UI" w:cs="Segoe UI"/>
          <w:color w:val="172B4D"/>
          <w:sz w:val="21"/>
          <w:szCs w:val="21"/>
        </w:rPr>
      </w:pPr>
      <w:r>
        <w:rPr>
          <w:rFonts w:ascii="Segoe UI" w:hAnsi="Segoe UI" w:cs="Segoe UI"/>
          <w:noProof/>
          <w:color w:val="172B4D"/>
          <w:sz w:val="21"/>
          <w:szCs w:val="21"/>
        </w:rPr>
        <w:drawing>
          <wp:inline distT="0" distB="0" distL="0" distR="0">
            <wp:extent cx="8130540" cy="3810000"/>
            <wp:effectExtent l="0" t="0" r="3810" b="0"/>
            <wp:docPr id="2" name="Picture 2" descr="https://fusion.mastercard.int/confluence/download/attachments/294624119/image2018-7-29%2022_51_41.png?version=1&amp;modificationDate=153291928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94624119/image2018-7-29%2022_51_41.png?version=1&amp;modificationDate=1532919283000&amp;api=v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130540" cy="3810000"/>
                    </a:xfrm>
                    <a:prstGeom prst="rect">
                      <a:avLst/>
                    </a:prstGeom>
                    <a:noFill/>
                    <a:ln>
                      <a:noFill/>
                    </a:ln>
                  </pic:spPr>
                </pic:pic>
              </a:graphicData>
            </a:graphic>
          </wp:inline>
        </w:drawing>
      </w:r>
    </w:p>
    <w:p w:rsidR="00DA53A1" w:rsidRDefault="00DA53A1" w:rsidP="00DA53A1">
      <w:pPr>
        <w:spacing w:before="150"/>
        <w:ind w:left="720"/>
        <w:rPr>
          <w:rFonts w:ascii="Segoe UI" w:hAnsi="Segoe UI" w:cs="Segoe UI"/>
          <w:color w:val="172B4D"/>
          <w:sz w:val="21"/>
          <w:szCs w:val="21"/>
        </w:rPr>
      </w:pPr>
      <w:r>
        <w:rPr>
          <w:rFonts w:ascii="Segoe UI" w:hAnsi="Segoe UI" w:cs="Segoe UI"/>
          <w:color w:val="172B4D"/>
          <w:sz w:val="21"/>
          <w:szCs w:val="21"/>
        </w:rPr>
        <w:t>An SRC System provides access to Checkout Services that enable Profile, Enrolment, Binding and Checkout events, facilitating the storage of Cardholder’s payment information and its transmission to an </w:t>
      </w:r>
      <w:r>
        <w:rPr>
          <w:rFonts w:ascii="Segoe UI" w:hAnsi="Segoe UI" w:cs="Segoe UI"/>
          <w:b/>
          <w:bCs/>
          <w:color w:val="172B4D"/>
          <w:sz w:val="21"/>
          <w:szCs w:val="21"/>
        </w:rPr>
        <w:t>SRC Initiator (</w:t>
      </w:r>
      <w:proofErr w:type="spellStart"/>
      <w:r>
        <w:rPr>
          <w:rFonts w:ascii="Segoe UI" w:hAnsi="Segoe UI" w:cs="Segoe UI"/>
          <w:b/>
          <w:bCs/>
          <w:color w:val="172B4D"/>
          <w:sz w:val="21"/>
          <w:szCs w:val="21"/>
        </w:rPr>
        <w:t>SRCi</w:t>
      </w:r>
      <w:proofErr w:type="spellEnd"/>
      <w:r>
        <w:rPr>
          <w:rFonts w:ascii="Segoe UI" w:hAnsi="Segoe UI" w:cs="Segoe UI"/>
          <w:b/>
          <w:bCs/>
          <w:color w:val="172B4D"/>
          <w:sz w:val="21"/>
          <w:szCs w:val="21"/>
        </w:rPr>
        <w:t>)</w:t>
      </w:r>
      <w:r>
        <w:rPr>
          <w:rFonts w:ascii="Segoe UI" w:hAnsi="Segoe UI" w:cs="Segoe UI"/>
          <w:color w:val="172B4D"/>
          <w:sz w:val="21"/>
          <w:szCs w:val="21"/>
        </w:rPr>
        <w:t>.</w:t>
      </w:r>
    </w:p>
    <w:p w:rsidR="00DA53A1" w:rsidRDefault="00DA53A1" w:rsidP="00DA53A1">
      <w:pPr>
        <w:spacing w:before="150"/>
        <w:ind w:left="720"/>
        <w:rPr>
          <w:rFonts w:ascii="Segoe UI" w:hAnsi="Segoe UI" w:cs="Segoe UI"/>
          <w:color w:val="172B4D"/>
          <w:sz w:val="21"/>
          <w:szCs w:val="21"/>
        </w:rPr>
      </w:pPr>
      <w:r>
        <w:rPr>
          <w:rFonts w:ascii="Segoe UI" w:hAnsi="Segoe UI" w:cs="Segoe UI"/>
          <w:color w:val="172B4D"/>
          <w:sz w:val="21"/>
          <w:szCs w:val="21"/>
        </w:rPr>
        <w:t xml:space="preserve">The resulting data from the successful completion of a Checkout Service is payment data that a merchant can use to initiate an </w:t>
      </w:r>
      <w:proofErr w:type="spellStart"/>
      <w:r>
        <w:rPr>
          <w:rFonts w:ascii="Segoe UI" w:hAnsi="Segoe UI" w:cs="Segoe UI"/>
          <w:color w:val="172B4D"/>
          <w:sz w:val="21"/>
          <w:szCs w:val="21"/>
        </w:rPr>
        <w:t>authorisation</w:t>
      </w:r>
      <w:proofErr w:type="spellEnd"/>
      <w:r>
        <w:rPr>
          <w:rFonts w:ascii="Segoe UI" w:hAnsi="Segoe UI" w:cs="Segoe UI"/>
          <w:color w:val="172B4D"/>
          <w:sz w:val="21"/>
          <w:szCs w:val="21"/>
        </w:rPr>
        <w:t xml:space="preserve"> request through its designated payment provider. A merchant or a payment service provider, acting as an SRC Initiator, facilitates access and integration to Checkout Services.</w:t>
      </w:r>
    </w:p>
    <w:p w:rsidR="00DA53A1" w:rsidRDefault="00DA53A1" w:rsidP="00DA53A1">
      <w:pPr>
        <w:spacing w:before="150"/>
        <w:ind w:left="720"/>
        <w:rPr>
          <w:rFonts w:ascii="Segoe UI" w:hAnsi="Segoe UI" w:cs="Segoe UI"/>
          <w:color w:val="172B4D"/>
          <w:sz w:val="21"/>
          <w:szCs w:val="21"/>
        </w:rPr>
      </w:pPr>
      <w:r>
        <w:rPr>
          <w:rFonts w:ascii="Segoe UI" w:hAnsi="Segoe UI" w:cs="Segoe UI"/>
          <w:color w:val="172B4D"/>
          <w:sz w:val="21"/>
          <w:szCs w:val="21"/>
        </w:rPr>
        <w:t xml:space="preserve">The integration of a Checkout Service is determined by the SRC </w:t>
      </w:r>
      <w:proofErr w:type="spellStart"/>
      <w:r>
        <w:rPr>
          <w:rFonts w:ascii="Segoe UI" w:hAnsi="Segoe UI" w:cs="Segoe UI"/>
          <w:color w:val="172B4D"/>
          <w:sz w:val="21"/>
          <w:szCs w:val="21"/>
        </w:rPr>
        <w:t>Programme</w:t>
      </w:r>
      <w:proofErr w:type="spellEnd"/>
      <w:r>
        <w:rPr>
          <w:rFonts w:ascii="Segoe UI" w:hAnsi="Segoe UI" w:cs="Segoe UI"/>
          <w:color w:val="172B4D"/>
          <w:sz w:val="21"/>
          <w:szCs w:val="21"/>
        </w:rPr>
        <w:t xml:space="preserve"> in coordination with the </w:t>
      </w:r>
      <w:r>
        <w:rPr>
          <w:rFonts w:ascii="Segoe UI" w:hAnsi="Segoe UI" w:cs="Segoe UI"/>
          <w:b/>
          <w:bCs/>
          <w:color w:val="172B4D"/>
          <w:sz w:val="21"/>
          <w:szCs w:val="21"/>
        </w:rPr>
        <w:t xml:space="preserve">SRC </w:t>
      </w:r>
      <w:proofErr w:type="gramStart"/>
      <w:r>
        <w:rPr>
          <w:rFonts w:ascii="Segoe UI" w:hAnsi="Segoe UI" w:cs="Segoe UI"/>
          <w:b/>
          <w:bCs/>
          <w:color w:val="172B4D"/>
          <w:sz w:val="21"/>
          <w:szCs w:val="21"/>
        </w:rPr>
        <w:t>Initiator(</w:t>
      </w:r>
      <w:proofErr w:type="spellStart"/>
      <w:proofErr w:type="gramEnd"/>
      <w:r>
        <w:rPr>
          <w:rFonts w:ascii="Segoe UI" w:hAnsi="Segoe UI" w:cs="Segoe UI"/>
          <w:b/>
          <w:bCs/>
          <w:color w:val="172B4D"/>
          <w:sz w:val="21"/>
          <w:szCs w:val="21"/>
        </w:rPr>
        <w:t>SRCi</w:t>
      </w:r>
      <w:proofErr w:type="spellEnd"/>
      <w:r>
        <w:rPr>
          <w:rFonts w:ascii="Segoe UI" w:hAnsi="Segoe UI" w:cs="Segoe UI"/>
          <w:b/>
          <w:bCs/>
          <w:color w:val="172B4D"/>
          <w:sz w:val="21"/>
          <w:szCs w:val="21"/>
        </w:rPr>
        <w:t>)</w:t>
      </w:r>
      <w:r>
        <w:rPr>
          <w:rFonts w:ascii="Segoe UI" w:hAnsi="Segoe UI" w:cs="Segoe UI"/>
          <w:color w:val="172B4D"/>
          <w:sz w:val="21"/>
          <w:szCs w:val="21"/>
        </w:rPr>
        <w:t> and </w:t>
      </w:r>
      <w:r>
        <w:rPr>
          <w:rFonts w:ascii="Segoe UI" w:hAnsi="Segoe UI" w:cs="Segoe UI"/>
          <w:b/>
          <w:bCs/>
          <w:color w:val="172B4D"/>
          <w:sz w:val="21"/>
          <w:szCs w:val="21"/>
        </w:rPr>
        <w:t>Digital Shopping Application(DSA)</w:t>
      </w:r>
      <w:r>
        <w:rPr>
          <w:rFonts w:ascii="Segoe UI" w:hAnsi="Segoe UI" w:cs="Segoe UI"/>
          <w:color w:val="172B4D"/>
          <w:sz w:val="21"/>
          <w:szCs w:val="21"/>
        </w:rPr>
        <w:t>. The SRC System interactions occur based on triggered events. The specification does not prescribe any one-implementation approach, but describes the interactions between the roles, functions, messages and the SRC System and SRC Participants. </w:t>
      </w:r>
    </w:p>
    <w:p w:rsidR="00DA53A1" w:rsidRDefault="00DA53A1" w:rsidP="00DA53A1"/>
    <w:p w:rsidR="00DA53A1" w:rsidRDefault="00DA53A1" w:rsidP="00DA53A1">
      <w:pPr>
        <w:rPr>
          <w:rFonts w:ascii="Segoe UI" w:hAnsi="Segoe UI" w:cs="Segoe UI"/>
          <w:color w:val="172B4D"/>
          <w:sz w:val="21"/>
          <w:szCs w:val="21"/>
        </w:rPr>
      </w:pPr>
    </w:p>
    <w:p w:rsidR="00DA53A1" w:rsidRDefault="00DA53A1" w:rsidP="00DA53A1">
      <w:pPr>
        <w:rPr>
          <w:rFonts w:ascii="Segoe UI" w:hAnsi="Segoe UI" w:cs="Segoe UI"/>
          <w:color w:val="172B4D"/>
          <w:sz w:val="21"/>
          <w:szCs w:val="21"/>
        </w:rPr>
      </w:pPr>
      <w:r>
        <w:rPr>
          <w:rFonts w:ascii="Segoe UI" w:hAnsi="Segoe UI" w:cs="Segoe UI"/>
          <w:color w:val="172B4D"/>
          <w:sz w:val="21"/>
          <w:szCs w:val="21"/>
        </w:rPr>
        <w:t xml:space="preserve">As part of </w:t>
      </w:r>
      <w:proofErr w:type="gramStart"/>
      <w:r>
        <w:rPr>
          <w:rFonts w:ascii="Segoe UI" w:hAnsi="Segoe UI" w:cs="Segoe UI"/>
          <w:color w:val="172B4D"/>
          <w:sz w:val="21"/>
          <w:szCs w:val="21"/>
        </w:rPr>
        <w:t>SRC ,</w:t>
      </w:r>
      <w:proofErr w:type="gramEnd"/>
      <w:r>
        <w:rPr>
          <w:rFonts w:ascii="Segoe UI" w:hAnsi="Segoe UI" w:cs="Segoe UI"/>
          <w:color w:val="172B4D"/>
          <w:sz w:val="21"/>
          <w:szCs w:val="21"/>
        </w:rPr>
        <w:t xml:space="preserve"> Alberta will go live on June 2019 which will replace traditional Masterpass and other wallets. Alberta wallet will be a single wallet replacing all other bank wallets eventually.</w:t>
      </w:r>
    </w:p>
    <w:p w:rsidR="00DA53A1" w:rsidRDefault="00DA53A1" w:rsidP="00DA53A1">
      <w:pPr>
        <w:rPr>
          <w:rFonts w:ascii="Segoe UI" w:hAnsi="Segoe UI" w:cs="Segoe UI"/>
          <w:color w:val="172B4D"/>
          <w:sz w:val="21"/>
          <w:szCs w:val="21"/>
        </w:rPr>
      </w:pPr>
    </w:p>
    <w:p w:rsidR="00DA53A1" w:rsidRDefault="00DA53A1" w:rsidP="00DA53A1">
      <w:pPr>
        <w:rPr>
          <w:rFonts w:ascii="Segoe UI" w:hAnsi="Segoe UI" w:cs="Segoe UI"/>
          <w:b/>
          <w:bCs/>
          <w:color w:val="172B4D"/>
          <w:sz w:val="21"/>
          <w:szCs w:val="21"/>
        </w:rPr>
      </w:pPr>
      <w:r>
        <w:rPr>
          <w:rFonts w:ascii="Segoe UI" w:hAnsi="Segoe UI" w:cs="Segoe UI"/>
          <w:b/>
          <w:bCs/>
          <w:color w:val="172B4D"/>
          <w:sz w:val="21"/>
          <w:szCs w:val="21"/>
        </w:rPr>
        <w:t>Alberta:</w:t>
      </w:r>
    </w:p>
    <w:p w:rsidR="00DA53A1" w:rsidRDefault="00DA53A1" w:rsidP="00DA53A1">
      <w:pPr>
        <w:rPr>
          <w:rFonts w:ascii="Segoe UI" w:hAnsi="Segoe UI" w:cs="Segoe UI"/>
          <w:b/>
          <w:bCs/>
          <w:color w:val="172B4D"/>
          <w:sz w:val="21"/>
          <w:szCs w:val="21"/>
        </w:rPr>
      </w:pPr>
    </w:p>
    <w:p w:rsidR="00DA53A1" w:rsidRDefault="00DA53A1" w:rsidP="00DA53A1">
      <w:r>
        <w:rPr>
          <w:noProof/>
        </w:rPr>
        <w:drawing>
          <wp:inline distT="0" distB="0" distL="0" distR="0">
            <wp:extent cx="8244840" cy="3832860"/>
            <wp:effectExtent l="0" t="0" r="3810" b="0"/>
            <wp:docPr id="1" name="Picture 1" descr="cid:image014.jpg@01D4BCFD.6227F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4.jpg@01D4BCFD.6227F2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244840" cy="3832860"/>
                    </a:xfrm>
                    <a:prstGeom prst="rect">
                      <a:avLst/>
                    </a:prstGeom>
                    <a:noFill/>
                    <a:ln>
                      <a:noFill/>
                    </a:ln>
                  </pic:spPr>
                </pic:pic>
              </a:graphicData>
            </a:graphic>
          </wp:inline>
        </w:drawing>
      </w:r>
    </w:p>
    <w:p w:rsidR="00DA53A1" w:rsidRDefault="00DA53A1" w:rsidP="00DA53A1"/>
    <w:p w:rsidR="00DA53A1" w:rsidRDefault="00DA53A1" w:rsidP="00DA53A1">
      <w:r>
        <w:t xml:space="preserve">In </w:t>
      </w:r>
      <w:proofErr w:type="gramStart"/>
      <w:r>
        <w:t>Alberta ,</w:t>
      </w:r>
      <w:proofErr w:type="gramEnd"/>
      <w:r>
        <w:t xml:space="preserve"> wallet architecture is broken down into 14 </w:t>
      </w:r>
      <w:proofErr w:type="spellStart"/>
      <w:r>
        <w:t>microservices</w:t>
      </w:r>
      <w:proofErr w:type="spellEnd"/>
      <w:r>
        <w:t xml:space="preserve">. </w:t>
      </w:r>
    </w:p>
    <w:p w:rsidR="00DA53A1" w:rsidRDefault="00DA53A1" w:rsidP="00DA53A1"/>
    <w:p w:rsidR="00DA53A1" w:rsidRDefault="00DA53A1" w:rsidP="00DA53A1">
      <w:r>
        <w:t xml:space="preserve">Platform services- </w:t>
      </w:r>
    </w:p>
    <w:p w:rsidR="00DA53A1" w:rsidRDefault="00DA53A1" w:rsidP="00DA53A1">
      <w:r>
        <w:t xml:space="preserve">These services will store encrypted user </w:t>
      </w:r>
      <w:proofErr w:type="gramStart"/>
      <w:r>
        <w:t>data .</w:t>
      </w:r>
      <w:proofErr w:type="gramEnd"/>
      <w:r>
        <w:t xml:space="preserve"> Like Address will store encrypted billing </w:t>
      </w:r>
      <w:proofErr w:type="gramStart"/>
      <w:r>
        <w:t>address ,</w:t>
      </w:r>
      <w:proofErr w:type="gramEnd"/>
      <w:r>
        <w:t xml:space="preserve"> consumer will store encrypted user email, mobile number etc. These services use </w:t>
      </w:r>
      <w:proofErr w:type="spellStart"/>
      <w:r>
        <w:t>CaaS</w:t>
      </w:r>
      <w:proofErr w:type="spellEnd"/>
      <w:r>
        <w:t xml:space="preserve"> for encrypt/</w:t>
      </w:r>
      <w:proofErr w:type="gramStart"/>
      <w:r>
        <w:t>decrypt .</w:t>
      </w:r>
      <w:proofErr w:type="gramEnd"/>
      <w:r>
        <w:t xml:space="preserve">  Permanent storage </w:t>
      </w:r>
      <w:proofErr w:type="gramStart"/>
      <w:r>
        <w:t>is  Mongo</w:t>
      </w:r>
      <w:proofErr w:type="gramEnd"/>
      <w:r>
        <w:t xml:space="preserve"> DB as well as </w:t>
      </w:r>
      <w:proofErr w:type="spellStart"/>
      <w:r>
        <w:t>Redis</w:t>
      </w:r>
      <w:proofErr w:type="spellEnd"/>
      <w:r>
        <w:t xml:space="preserve"> cache. Payment instrument service stores card token data and card cryptogram. </w:t>
      </w:r>
    </w:p>
    <w:p w:rsidR="00DA53A1" w:rsidRDefault="00DA53A1" w:rsidP="00DA53A1"/>
    <w:p w:rsidR="00DA53A1" w:rsidRDefault="00DA53A1" w:rsidP="00DA53A1">
      <w:r>
        <w:t xml:space="preserve">Orchestration services – </w:t>
      </w:r>
    </w:p>
    <w:p w:rsidR="00DA53A1" w:rsidRDefault="00DA53A1" w:rsidP="00DA53A1">
      <w:r>
        <w:t xml:space="preserve">Merchant UI or Merchant Backend will call the API endpoints of one or more orchestration </w:t>
      </w:r>
      <w:proofErr w:type="gramStart"/>
      <w:r>
        <w:t>services .</w:t>
      </w:r>
      <w:proofErr w:type="gramEnd"/>
      <w:r>
        <w:t xml:space="preserve"> These services communicates with one or more platform services to get stored user </w:t>
      </w:r>
      <w:proofErr w:type="gramStart"/>
      <w:r>
        <w:t>data .</w:t>
      </w:r>
      <w:proofErr w:type="gramEnd"/>
      <w:r>
        <w:t xml:space="preserve"> </w:t>
      </w:r>
    </w:p>
    <w:p w:rsidR="00DA53A1" w:rsidRDefault="00DA53A1" w:rsidP="00DA53A1"/>
    <w:p w:rsidR="00DA53A1" w:rsidRDefault="00DA53A1" w:rsidP="00DA53A1">
      <w:pPr>
        <w:rPr>
          <w:b/>
          <w:bCs/>
        </w:rPr>
      </w:pPr>
      <w:r>
        <w:rPr>
          <w:b/>
          <w:bCs/>
        </w:rPr>
        <w:t xml:space="preserve">Technology Stack – </w:t>
      </w:r>
    </w:p>
    <w:p w:rsidR="00DA53A1" w:rsidRDefault="00DA53A1" w:rsidP="00DA53A1">
      <w:pPr>
        <w:ind w:left="720"/>
      </w:pPr>
      <w:r>
        <w:rPr>
          <w:b/>
          <w:bCs/>
        </w:rPr>
        <w:t>Front End –</w:t>
      </w:r>
      <w:r>
        <w:t xml:space="preserve"> Angular JS 4.</w:t>
      </w:r>
    </w:p>
    <w:p w:rsidR="00DA53A1" w:rsidRDefault="00DA53A1" w:rsidP="00DA53A1">
      <w:pPr>
        <w:ind w:left="720"/>
      </w:pPr>
      <w:r>
        <w:rPr>
          <w:b/>
          <w:bCs/>
        </w:rPr>
        <w:t xml:space="preserve">Back End </w:t>
      </w:r>
      <w:proofErr w:type="gramStart"/>
      <w:r>
        <w:rPr>
          <w:b/>
          <w:bCs/>
        </w:rPr>
        <w:t>-</w:t>
      </w:r>
      <w:r>
        <w:t xml:space="preserve">  All</w:t>
      </w:r>
      <w:proofErr w:type="gramEnd"/>
      <w:r>
        <w:t xml:space="preserve"> the </w:t>
      </w:r>
      <w:proofErr w:type="spellStart"/>
      <w:r>
        <w:t>microservices</w:t>
      </w:r>
      <w:proofErr w:type="spellEnd"/>
      <w:r>
        <w:t xml:space="preserve"> are deployed in Mastercard on-premises installation of pivotal cloud foundry . Enterprise </w:t>
      </w:r>
      <w:proofErr w:type="spellStart"/>
      <w:r>
        <w:t>Redis</w:t>
      </w:r>
      <w:proofErr w:type="spellEnd"/>
      <w:r>
        <w:t xml:space="preserve"> and Mongo DB is used which is hosted outside of </w:t>
      </w:r>
      <w:proofErr w:type="gramStart"/>
      <w:r>
        <w:t>PCF .</w:t>
      </w:r>
      <w:proofErr w:type="gramEnd"/>
      <w:r>
        <w:t xml:space="preserve"> Platform services talks to Downstream </w:t>
      </w:r>
      <w:proofErr w:type="spellStart"/>
      <w:r>
        <w:t>componets</w:t>
      </w:r>
      <w:proofErr w:type="spellEnd"/>
      <w:r>
        <w:t xml:space="preserve"> like </w:t>
      </w:r>
      <w:proofErr w:type="spellStart"/>
      <w:r>
        <w:t>CaaS</w:t>
      </w:r>
      <w:proofErr w:type="spellEnd"/>
      <w:r>
        <w:t xml:space="preserve">/MDES via IBM </w:t>
      </w:r>
      <w:proofErr w:type="gramStart"/>
      <w:r>
        <w:t>ESB .</w:t>
      </w:r>
      <w:proofErr w:type="gramEnd"/>
      <w:r>
        <w:t xml:space="preserve"> IBM ESB in </w:t>
      </w:r>
      <w:proofErr w:type="spellStart"/>
      <w:r>
        <w:t>mastercard</w:t>
      </w:r>
      <w:proofErr w:type="spellEnd"/>
      <w:r>
        <w:t xml:space="preserve"> by all the application.</w:t>
      </w:r>
    </w:p>
    <w:p w:rsidR="00DA53A1" w:rsidRDefault="00DA53A1" w:rsidP="00DA53A1"/>
    <w:p w:rsidR="00DA53A1" w:rsidRDefault="00DA53A1" w:rsidP="00DA53A1">
      <w:pPr>
        <w:ind w:left="720"/>
        <w:rPr>
          <w:b/>
          <w:bCs/>
        </w:rPr>
      </w:pPr>
      <w:r>
        <w:rPr>
          <w:b/>
          <w:bCs/>
        </w:rPr>
        <w:t xml:space="preserve">Inter Service Communication – one </w:t>
      </w:r>
      <w:proofErr w:type="spellStart"/>
      <w:r>
        <w:rPr>
          <w:b/>
          <w:bCs/>
        </w:rPr>
        <w:t>microservice</w:t>
      </w:r>
      <w:proofErr w:type="spellEnd"/>
      <w:r>
        <w:rPr>
          <w:b/>
          <w:bCs/>
        </w:rPr>
        <w:t xml:space="preserve"> communicates with other </w:t>
      </w:r>
      <w:proofErr w:type="spellStart"/>
      <w:r>
        <w:rPr>
          <w:b/>
          <w:bCs/>
        </w:rPr>
        <w:t>microservice</w:t>
      </w:r>
      <w:proofErr w:type="spellEnd"/>
      <w:r>
        <w:rPr>
          <w:b/>
          <w:bCs/>
        </w:rPr>
        <w:t xml:space="preserve"> via Synapse. </w:t>
      </w:r>
    </w:p>
    <w:p w:rsidR="00DA53A1" w:rsidRDefault="00DA53A1" w:rsidP="00DA53A1">
      <w:pPr>
        <w:ind w:left="720"/>
        <w:rPr>
          <w:b/>
          <w:bCs/>
        </w:rPr>
      </w:pPr>
      <w:r>
        <w:rPr>
          <w:b/>
          <w:bCs/>
        </w:rPr>
        <w:t xml:space="preserve">  Synapse – </w:t>
      </w:r>
    </w:p>
    <w:p w:rsidR="00DA53A1" w:rsidRDefault="00DA53A1" w:rsidP="00DA53A1">
      <w:pPr>
        <w:ind w:left="720"/>
        <w:rPr>
          <w:b/>
          <w:bCs/>
        </w:rPr>
      </w:pPr>
    </w:p>
    <w:p w:rsidR="00DA53A1" w:rsidRDefault="00DA53A1" w:rsidP="00DA53A1">
      <w:pPr>
        <w:ind w:left="1440"/>
      </w:pPr>
      <w:r>
        <w:t xml:space="preserve">Synapse is a home grown framework/tool based on </w:t>
      </w:r>
      <w:proofErr w:type="spellStart"/>
      <w:r>
        <w:t>Zuul</w:t>
      </w:r>
      <w:proofErr w:type="spellEnd"/>
      <w:r>
        <w:t xml:space="preserve"> API gateway. </w:t>
      </w:r>
    </w:p>
    <w:p w:rsidR="00DA53A1" w:rsidRDefault="00DA53A1" w:rsidP="00DA53A1">
      <w:pPr>
        <w:ind w:left="1440"/>
      </w:pPr>
    </w:p>
    <w:p w:rsidR="00DA53A1" w:rsidRDefault="00DA53A1" w:rsidP="00DA53A1">
      <w:pPr>
        <w:ind w:left="1440"/>
      </w:pPr>
      <w:r>
        <w:t xml:space="preserve">It's comprised of multiple components encompassing </w:t>
      </w:r>
    </w:p>
    <w:p w:rsidR="00DA53A1" w:rsidRDefault="00DA53A1" w:rsidP="00DA53A1">
      <w:pPr>
        <w:ind w:left="1440"/>
      </w:pPr>
    </w:p>
    <w:p w:rsidR="00DA53A1" w:rsidRDefault="00DA53A1" w:rsidP="00DA53A1">
      <w:pPr>
        <w:pStyle w:val="ListParagraph"/>
        <w:numPr>
          <w:ilvl w:val="0"/>
          <w:numId w:val="3"/>
        </w:numPr>
      </w:pPr>
      <w:r>
        <w:t>Distributed dynamic routing.</w:t>
      </w:r>
    </w:p>
    <w:p w:rsidR="00DA53A1" w:rsidRDefault="00DA53A1" w:rsidP="00DA53A1">
      <w:pPr>
        <w:pStyle w:val="ListParagraph"/>
        <w:numPr>
          <w:ilvl w:val="0"/>
          <w:numId w:val="3"/>
        </w:numPr>
      </w:pPr>
      <w:r>
        <w:t xml:space="preserve">Client-side </w:t>
      </w:r>
      <w:proofErr w:type="spellStart"/>
      <w:r>
        <w:t>loadbalancing</w:t>
      </w:r>
      <w:proofErr w:type="spellEnd"/>
      <w:r>
        <w:t>.</w:t>
      </w:r>
    </w:p>
    <w:p w:rsidR="00DA53A1" w:rsidRDefault="00DA53A1" w:rsidP="00DA53A1">
      <w:pPr>
        <w:pStyle w:val="ListParagraph"/>
        <w:numPr>
          <w:ilvl w:val="0"/>
          <w:numId w:val="3"/>
        </w:numPr>
      </w:pPr>
      <w:r>
        <w:t>Fault tolerance to failover with no client-side errors.</w:t>
      </w:r>
    </w:p>
    <w:p w:rsidR="00DA53A1" w:rsidRDefault="00DA53A1" w:rsidP="00DA53A1">
      <w:pPr>
        <w:pStyle w:val="ListParagraph"/>
        <w:numPr>
          <w:ilvl w:val="0"/>
          <w:numId w:val="3"/>
        </w:numPr>
      </w:pPr>
      <w:r>
        <w:t>A new security framework allowing group control over service consumption.</w:t>
      </w:r>
    </w:p>
    <w:p w:rsidR="00DA53A1" w:rsidRDefault="00DA53A1" w:rsidP="00DA53A1">
      <w:pPr>
        <w:pStyle w:val="ListParagraph"/>
        <w:numPr>
          <w:ilvl w:val="0"/>
          <w:numId w:val="3"/>
        </w:numPr>
      </w:pPr>
      <w:r>
        <w:t>Operational dashboards for monitoring and maintaining the framework and deployed services.</w:t>
      </w:r>
    </w:p>
    <w:p w:rsidR="00DA53A1" w:rsidRDefault="00DA53A1" w:rsidP="00DA53A1">
      <w:pPr>
        <w:ind w:left="720"/>
        <w:rPr>
          <w:i/>
          <w:iCs/>
        </w:rPr>
      </w:pPr>
    </w:p>
    <w:p w:rsidR="00DA53A1" w:rsidRDefault="00DA53A1" w:rsidP="00DA53A1">
      <w:pPr>
        <w:ind w:left="720"/>
      </w:pPr>
      <w:r>
        <w:rPr>
          <w:i/>
          <w:iCs/>
        </w:rPr>
        <w:t>The goal of Synapse is to</w:t>
      </w:r>
      <w:r>
        <w:t xml:space="preserve"> provide developers with easy-to-use tools and SDKs that allow them to deploy their services in a distributed manner and consume other services deployed in the framework. This enables us to run services in a </w:t>
      </w:r>
      <w:proofErr w:type="spellStart"/>
      <w:r>
        <w:t>microservice</w:t>
      </w:r>
      <w:proofErr w:type="spellEnd"/>
      <w:r>
        <w:t xml:space="preserve"> architecture at MasterCard.</w:t>
      </w:r>
    </w:p>
    <w:p w:rsidR="00DA53A1" w:rsidRDefault="00DA53A1" w:rsidP="00DA53A1">
      <w:pPr>
        <w:ind w:left="720"/>
        <w:rPr>
          <w:b/>
          <w:bCs/>
        </w:rPr>
      </w:pPr>
    </w:p>
    <w:p w:rsidR="00DA53A1" w:rsidRDefault="00DA53A1" w:rsidP="00DA53A1">
      <w:pPr>
        <w:ind w:left="720"/>
        <w:rPr>
          <w:b/>
          <w:bCs/>
          <w:i/>
          <w:iCs/>
        </w:rPr>
      </w:pPr>
      <w:r>
        <w:rPr>
          <w:b/>
          <w:bCs/>
          <w:i/>
          <w:iCs/>
        </w:rPr>
        <w:t>PRISM</w:t>
      </w:r>
    </w:p>
    <w:p w:rsidR="00DA53A1" w:rsidRDefault="00DA53A1" w:rsidP="00DA53A1">
      <w:pPr>
        <w:ind w:left="720"/>
      </w:pPr>
      <w:r>
        <w:t>Consumer-side java based library that handles service discovery, client-side authorization for provider calls using PDP &amp; client-side load balancing. This is based on Netflix project Ribbon.</w:t>
      </w:r>
    </w:p>
    <w:p w:rsidR="00DA53A1" w:rsidRDefault="00DA53A1" w:rsidP="00DA53A1">
      <w:pPr>
        <w:ind w:left="720"/>
        <w:rPr>
          <w:b/>
          <w:bCs/>
        </w:rPr>
      </w:pPr>
      <w:r>
        <w:rPr>
          <w:b/>
          <w:bCs/>
        </w:rPr>
        <w:t>LOCUS</w:t>
      </w:r>
    </w:p>
    <w:p w:rsidR="00DA53A1" w:rsidRDefault="00DA53A1" w:rsidP="00DA53A1">
      <w:pPr>
        <w:ind w:left="720"/>
      </w:pPr>
      <w:r>
        <w:t xml:space="preserve">Provider-side java based </w:t>
      </w:r>
      <w:proofErr w:type="gramStart"/>
      <w:r>
        <w:t>library, that</w:t>
      </w:r>
      <w:proofErr w:type="gramEnd"/>
      <w:r>
        <w:t xml:space="preserve"> handles service registration to the registry, server-side authorization &amp; API health-checks. The purpose of Locus is to register a service with the Synapse framework. A developer includes the Locus dependency in their project and configures it. When the service starts up, it is Locus that registers it to the Synapse framework. This is similar to Eureka Client in Netflix Project</w:t>
      </w:r>
    </w:p>
    <w:p w:rsidR="00DA53A1" w:rsidRDefault="00DA53A1" w:rsidP="00DA53A1">
      <w:pPr>
        <w:ind w:left="720"/>
        <w:rPr>
          <w:b/>
          <w:bCs/>
        </w:rPr>
      </w:pPr>
      <w:r>
        <w:rPr>
          <w:b/>
          <w:bCs/>
        </w:rPr>
        <w:t>ZOOKEEPER</w:t>
      </w:r>
    </w:p>
    <w:p w:rsidR="00DA53A1" w:rsidRDefault="00DA53A1" w:rsidP="00DA53A1">
      <w:pPr>
        <w:ind w:left="720"/>
      </w:pPr>
      <w:r>
        <w:t xml:space="preserve">Service registry, which stores the </w:t>
      </w:r>
      <w:proofErr w:type="gramStart"/>
      <w:r>
        <w:t>meta</w:t>
      </w:r>
      <w:proofErr w:type="gramEnd"/>
      <w:r>
        <w:t xml:space="preserve"> data about the service. All other synapse components talk to </w:t>
      </w:r>
      <w:proofErr w:type="spellStart"/>
      <w:r>
        <w:t>ZooKeeper</w:t>
      </w:r>
      <w:proofErr w:type="spellEnd"/>
      <w:r>
        <w:t xml:space="preserve"> to get data about the registered service.  </w:t>
      </w:r>
    </w:p>
    <w:p w:rsidR="00DA53A1" w:rsidRDefault="00DA53A1" w:rsidP="00DA53A1">
      <w:pPr>
        <w:ind w:left="720"/>
        <w:rPr>
          <w:b/>
          <w:bCs/>
        </w:rPr>
      </w:pPr>
      <w:r>
        <w:rPr>
          <w:b/>
          <w:bCs/>
        </w:rPr>
        <w:t>POLICY POINTS (PAP, PEP, PDP)</w:t>
      </w:r>
    </w:p>
    <w:p w:rsidR="00DA53A1" w:rsidRDefault="00DA53A1" w:rsidP="00DA53A1">
      <w:pPr>
        <w:ind w:left="720"/>
      </w:pPr>
      <w:r>
        <w:t xml:space="preserve">For a service to register or consume in Synapse framework, a valid security policy has to be on-boarded. This policy defines who can consume what service on how method. There are 3 components that handle the policy management within </w:t>
      </w:r>
      <w:r>
        <w:rPr>
          <w:b/>
          <w:bCs/>
        </w:rPr>
        <w:t>Synapse –</w:t>
      </w:r>
    </w:p>
    <w:p w:rsidR="00DA53A1" w:rsidRDefault="00DA53A1" w:rsidP="00DA53A1">
      <w:pPr>
        <w:ind w:left="720"/>
      </w:pPr>
      <w:r>
        <w:t>PAP (Policy Administration Point) – API that allows internal users to CRUD security policies on API.</w:t>
      </w:r>
    </w:p>
    <w:p w:rsidR="00DA53A1" w:rsidRDefault="00DA53A1" w:rsidP="00DA53A1">
      <w:pPr>
        <w:ind w:left="720"/>
      </w:pPr>
      <w:r>
        <w:t>PEP (Policy Enforcement Point) – Intercepts incoming API calls to a provider &amp; verifies with PDP to see if the consumption is allowed.</w:t>
      </w:r>
    </w:p>
    <w:p w:rsidR="00DA53A1" w:rsidRDefault="00DA53A1" w:rsidP="00DA53A1">
      <w:pPr>
        <w:ind w:left="720"/>
      </w:pPr>
      <w:r>
        <w:t>PDP (Policy Decision Point) – API that actually fronts the PAP to provide run-time decision about access control based on policies.</w:t>
      </w:r>
    </w:p>
    <w:p w:rsidR="00DA53A1" w:rsidRDefault="00DA53A1" w:rsidP="00DA53A1">
      <w:pPr>
        <w:ind w:left="720"/>
        <w:rPr>
          <w:b/>
          <w:bCs/>
        </w:rPr>
      </w:pPr>
      <w:r>
        <w:rPr>
          <w:b/>
          <w:bCs/>
        </w:rPr>
        <w:t>AKER</w:t>
      </w:r>
    </w:p>
    <w:p w:rsidR="00DA53A1" w:rsidRDefault="00DA53A1" w:rsidP="00DA53A1">
      <w:pPr>
        <w:ind w:left="720"/>
      </w:pPr>
      <w:r>
        <w:t xml:space="preserve">This is implementation of Netflix </w:t>
      </w:r>
      <w:proofErr w:type="spellStart"/>
      <w:r>
        <w:t>Zuul</w:t>
      </w:r>
      <w:proofErr w:type="spellEnd"/>
      <w:r>
        <w:t xml:space="preserve"> API </w:t>
      </w:r>
      <w:proofErr w:type="gramStart"/>
      <w:r>
        <w:t>Gateway .</w:t>
      </w:r>
      <w:proofErr w:type="gramEnd"/>
      <w:r>
        <w:t xml:space="preserve"> Aker is between XML GW &amp; PCF / DMZ2 services &amp; is vital for exposing any synapse API's externally via XML GW. Aker is also responsible for translating the SAML tokens from XML GW to JWT, that synapse API's understand. </w:t>
      </w:r>
    </w:p>
    <w:p w:rsidR="002C057C" w:rsidRDefault="002C057C">
      <w:bookmarkStart w:id="0" w:name="_GoBack"/>
      <w:bookmarkEnd w:id="0"/>
    </w:p>
    <w:sectPr w:rsidR="002C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335"/>
    <w:multiLevelType w:val="hybridMultilevel"/>
    <w:tmpl w:val="722EBD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AD15AB"/>
    <w:multiLevelType w:val="hybridMultilevel"/>
    <w:tmpl w:val="007274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3B4E4E6C"/>
    <w:multiLevelType w:val="hybridMultilevel"/>
    <w:tmpl w:val="BFAE19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A1"/>
    <w:rsid w:val="002C057C"/>
    <w:rsid w:val="00DA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74CA5-2C79-4779-B64E-25AB6CFF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3A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A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8.jpg@01D4BCFD.6227F2C0"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12.png@01D4BCFD.6227F2C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6.jpg@01D4BCFD.6227F2C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cid:image011.png@01D4BCFD.6227F2C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14.jpg@01D4BCFD.6227F2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1065</Words>
  <Characters>6073</Characters>
  <Application>Microsoft Office Word</Application>
  <DocSecurity>0</DocSecurity>
  <Lines>50</Lines>
  <Paragraphs>14</Paragraphs>
  <ScaleCrop>false</ScaleCrop>
  <Company>Mastercard</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 Subarna</dc:creator>
  <cp:keywords/>
  <dc:description/>
  <cp:lastModifiedBy>Gaine, Subarna</cp:lastModifiedBy>
  <cp:revision>1</cp:revision>
  <dcterms:created xsi:type="dcterms:W3CDTF">2019-02-05T08:50:00Z</dcterms:created>
  <dcterms:modified xsi:type="dcterms:W3CDTF">2019-02-05T08:51:00Z</dcterms:modified>
</cp:coreProperties>
</file>