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F172A"/>
          <w:sz w:val="26"/>
        </w:rPr>
        <w:t>PSG COLLEGE OF TECHNOLOGY, COIMBATORE</w:t>
      </w:r>
    </w:p>
    <w:p>
      <w:pPr>
        <w:spacing w:before="0" w:after="360"/>
        <w:jc w:val="center"/>
      </w:pPr>
      <w:r>
        <w:rPr>
          <w:rFonts w:ascii="Times New Roman" w:hAnsi="Times New Roman"/>
          <w:color w:val="334155"/>
          <w:sz w:val="22"/>
        </w:rPr>
        <w:t>Department of Computer Science and Engineering</w:t>
      </w:r>
    </w:p>
    <w:p>
      <w:pPr>
        <w:spacing w:before="120" w:after="360"/>
        <w:jc w:val="center"/>
      </w:pPr>
      <w:r>
        <w:drawing>
          <wp:inline xmlns:a="http://schemas.openxmlformats.org/drawingml/2006/main" xmlns:pic="http://schemas.openxmlformats.org/drawingml/2006/picture">
            <wp:extent cx="1188720" cy="1223568"/>
            <wp:docPr id="1" name="Picture 1"/>
            <wp:cNvGraphicFramePr>
              <a:graphicFrameLocks noChangeAspect="1"/>
            </wp:cNvGraphicFramePr>
            <a:graphic>
              <a:graphicData uri="http://schemas.openxmlformats.org/drawingml/2006/picture">
                <pic:pic>
                  <pic:nvPicPr>
                    <pic:cNvPr id="0" name="cabeye_p1_0_Image11.png"/>
                    <pic:cNvPicPr/>
                  </pic:nvPicPr>
                  <pic:blipFill>
                    <a:blip r:embed="rId10"/>
                    <a:stretch>
                      <a:fillRect/>
                    </a:stretch>
                  </pic:blipFill>
                  <pic:spPr>
                    <a:xfrm>
                      <a:off x="0" y="0"/>
                      <a:ext cx="1188720" cy="1223568"/>
                    </a:xfrm>
                    <a:prstGeom prst="rect"/>
                  </pic:spPr>
                </pic:pic>
              </a:graphicData>
            </a:graphic>
          </wp:inline>
        </w:drawing>
      </w:r>
    </w:p>
    <w:p>
      <w:pPr>
        <w:spacing w:before="200" w:after="280"/>
        <w:jc w:val="center"/>
      </w:pPr>
      <w:r>
        <w:rPr>
          <w:rFonts w:ascii="Times New Roman" w:hAnsi="Times New Roman"/>
          <w:b/>
          <w:color w:val="0F172A"/>
          <w:sz w:val="44"/>
        </w:rPr>
        <w:t>SOFTWARE BLUEPRINT AI</w:t>
      </w:r>
    </w:p>
    <w:p>
      <w:pPr>
        <w:spacing w:before="0" w:after="560"/>
        <w:jc w:val="center"/>
      </w:pPr>
      <w:r>
        <w:rPr>
          <w:rFonts w:ascii="Times New Roman" w:hAnsi="Times New Roman"/>
          <w:color w:val="334155"/>
          <w:sz w:val="24"/>
        </w:rPr>
        <w:t>An AI-Driven Multi-Agent Framework for Intelligent Software Requirement Engineering,</w:t>
        <w:br/>
        <w:t>Project Planning, and Architecture Design</w:t>
      </w:r>
    </w:p>
    <w:p>
      <w:pPr>
        <w:spacing w:before="0" w:after="400"/>
        <w:jc w:val="center"/>
      </w:pPr>
      <w:r>
        <w:rPr>
          <w:rFonts w:ascii="Times New Roman" w:hAnsi="Times New Roman"/>
          <w:b/>
          <w:color w:val="0F172A"/>
          <w:sz w:val="22"/>
        </w:rPr>
        <w:t>23Z711 – PROJECT WORK 1</w:t>
      </w:r>
    </w:p>
    <w:p>
      <w:pPr>
        <w:spacing w:before="0" w:after="80"/>
        <w:jc w:val="center"/>
      </w:pPr>
      <w:r>
        <w:rPr>
          <w:rFonts w:ascii="Times New Roman" w:hAnsi="Times New Roman"/>
          <w:b/>
          <w:color w:val="0F172A"/>
          <w:sz w:val="22"/>
        </w:rPr>
        <w:t>Submitted by</w:t>
      </w:r>
    </w:p>
    <w:p>
      <w:pPr>
        <w:spacing w:before="0" w:after="30"/>
        <w:jc w:val="center"/>
      </w:pPr>
      <w:r>
        <w:rPr>
          <w:rFonts w:ascii="Times New Roman" w:hAnsi="Times New Roman"/>
          <w:color w:val="1E293B"/>
          <w:sz w:val="21"/>
        </w:rPr>
        <w:t>23Z301  Abdul Faizudeen M</w:t>
      </w:r>
    </w:p>
    <w:p>
      <w:pPr>
        <w:spacing w:before="0" w:after="30"/>
        <w:jc w:val="center"/>
      </w:pPr>
      <w:r>
        <w:rPr>
          <w:rFonts w:ascii="Times New Roman" w:hAnsi="Times New Roman"/>
          <w:color w:val="1E293B"/>
          <w:sz w:val="21"/>
        </w:rPr>
        <w:t>23Z331  Kaleeswar G</w:t>
      </w:r>
    </w:p>
    <w:p>
      <w:pPr>
        <w:spacing w:before="0" w:after="30"/>
        <w:jc w:val="center"/>
      </w:pPr>
      <w:r>
        <w:rPr>
          <w:rFonts w:ascii="Times New Roman" w:hAnsi="Times New Roman"/>
          <w:color w:val="1E293B"/>
          <w:sz w:val="21"/>
        </w:rPr>
        <w:t>23Z364  Sam Jeba Ashlin R</w:t>
      </w:r>
    </w:p>
    <w:p>
      <w:pPr>
        <w:spacing w:before="0" w:after="30"/>
        <w:jc w:val="center"/>
      </w:pPr>
      <w:r>
        <w:rPr>
          <w:rFonts w:ascii="Times New Roman" w:hAnsi="Times New Roman"/>
          <w:color w:val="1E293B"/>
          <w:sz w:val="21"/>
        </w:rPr>
        <w:t>23Z372  Subash L</w:t>
      </w:r>
    </w:p>
    <w:p>
      <w:pPr>
        <w:spacing w:before="0" w:after="30"/>
        <w:jc w:val="center"/>
      </w:pPr>
      <w:r>
        <w:rPr>
          <w:rFonts w:ascii="Times New Roman" w:hAnsi="Times New Roman"/>
          <w:color w:val="1E293B"/>
          <w:sz w:val="21"/>
        </w:rPr>
        <w:t>24Z461  Aakash S</w:t>
      </w:r>
    </w:p>
    <w:p>
      <w:pPr>
        <w:spacing w:before="320" w:after="40"/>
        <w:jc w:val="center"/>
      </w:pPr>
      <w:r>
        <w:rPr>
          <w:rFonts w:ascii="Times New Roman" w:hAnsi="Times New Roman"/>
          <w:b/>
          <w:color w:val="0F172A"/>
          <w:sz w:val="22"/>
        </w:rPr>
        <w:t>Project Guide</w:t>
      </w:r>
    </w:p>
    <w:p>
      <w:pPr>
        <w:spacing w:before="0" w:after="120"/>
        <w:jc w:val="center"/>
      </w:pPr>
      <w:r>
        <w:rPr>
          <w:rFonts w:ascii="Times New Roman" w:hAnsi="Times New Roman"/>
          <w:color w:val="1E293B"/>
          <w:sz w:val="21"/>
        </w:rPr>
        <w:t>Ms. C. Viveka</w:t>
      </w:r>
    </w:p>
    <w:p>
      <w:pPr>
        <w:spacing w:before="0" w:after="40"/>
        <w:jc w:val="center"/>
      </w:pPr>
      <w:r>
        <w:rPr>
          <w:rFonts w:ascii="Times New Roman" w:hAnsi="Times New Roman"/>
          <w:b/>
          <w:color w:val="0F172A"/>
          <w:sz w:val="22"/>
        </w:rPr>
        <w:t>Co-Guide</w:t>
      </w:r>
    </w:p>
    <w:p>
      <w:pPr>
        <w:spacing w:before="0" w:after="0"/>
        <w:jc w:val="center"/>
      </w:pPr>
      <w:r>
        <w:rPr>
          <w:rFonts w:ascii="Times New Roman" w:hAnsi="Times New Roman"/>
          <w:color w:val="1E293B"/>
          <w:sz w:val="21"/>
        </w:rPr>
        <w:t>Dr. K. Sathiyapriya</w:t>
      </w:r>
    </w:p>
    <w:p>
      <w:r>
        <w:br w:type="page"/>
      </w:r>
    </w:p>
    <w:p>
      <w:pPr>
        <w:spacing w:before="240" w:after="160"/>
      </w:pPr>
      <w:r>
        <w:rPr>
          <w:rFonts w:ascii="Times New Roman" w:hAnsi="Times New Roman"/>
          <w:b/>
          <w:color w:val="0F172A"/>
          <w:sz w:val="32"/>
        </w:rPr>
        <w:t>Abstract</w:t>
      </w:r>
    </w:p>
    <w:p>
      <w:pPr>
        <w:spacing w:before="0" w:after="120" w:line="276" w:lineRule="auto"/>
        <w:jc w:val="left"/>
      </w:pPr>
      <w:r>
        <w:rPr>
          <w:rFonts w:ascii="Times New Roman" w:hAnsi="Times New Roman"/>
          <w:color w:val="1E293B"/>
          <w:sz w:val="24"/>
        </w:rPr>
        <w:t>Software development starts with three critical activities: analyzing requirements, planning tasks, and designing system architecture. In modern industry, these activities are handled in isolation by separate teams using disconnected tools. Product managers write requirements in text documents, engineering leads create sprint tasks manually, and architects draw block diagrams. Because there is no automated bridge connecting these artifacts, software engineering projects regularly suffer from incomplete requirements, unaligned project schedules, and architectures that drift away from business goals. Industry studies show that over 65 percent of software project failures trace back to these early-stage disconnects. We built Software Blueprint AI to solve this problem by converting a natural-language software idea or raw Product Requirement Document directly into a fully connected, mathematically verified software engineering blueprint.</w:t>
      </w:r>
    </w:p>
    <w:p>
      <w:pPr>
        <w:spacing w:before="0" w:after="120" w:line="276" w:lineRule="auto"/>
        <w:jc w:val="left"/>
      </w:pPr>
      <w:r>
        <w:rPr>
          <w:rFonts w:ascii="Times New Roman" w:hAnsi="Times New Roman"/>
          <w:color w:val="1E293B"/>
          <w:sz w:val="24"/>
        </w:rPr>
        <w:t>Using a single Large Language Model (LLM) with a giant prompt does not solve the problem. A single model easily forgets context, hallucinates fictional library packages, cannot detect circular dependency loops in project schedules, and cannot guarantee that requirements actually map to database tables or API endpoints. To overcome this, Software Blueprint AI employs an autonomous multi-agent framework orchestrated by LangGraph. Specialized agents collaborate over a shared state machine: Module 1 (Requirement Analysis Agent) extracts stakeholders, testable functional and non-functional requirements, and detected ambiguities; Module 2 (Project Planning Agent) synthesizes a Work Breakdown Structure (WBS) with task hours, milestones, and Directed Acyclic Graph (DAG) dependencies; Module 3 (Architecture Design Agent) recommends modular architectures, C4 container models, REST APIs, and Architecture Decision Records (ADRs); Module 4 (Evidence-Grounded RAG Agent) queries a local Qdrant vector database to back technology choices with peer-reviewed literature; Module 5 (Validation Agent) conducts a two-phase audit using pure Python graph algorithms and Pydantic v2 schemas; and Module 6 (Impact Analysis Agent) calculates transitive blast radiuses via NetworkX Breadth-First Search to re-synthesize only modified components, saving approximately 78 percent of token compute.</w:t>
      </w:r>
    </w:p>
    <w:p>
      <w:pPr>
        <w:spacing w:before="0" w:after="120" w:line="276" w:lineRule="auto"/>
        <w:jc w:val="left"/>
      </w:pPr>
      <w:r>
        <w:rPr>
          <w:rFonts w:ascii="Times New Roman" w:hAnsi="Times New Roman"/>
          <w:color w:val="1E293B"/>
          <w:sz w:val="24"/>
        </w:rPr>
        <w:t>A critical architectural evolution of our system was eliminating arithmetic hallucinations from the prioritization pipeline. Rather than asking an LLM to guess quantitative numbers for the RICE framework (Reach, Impact, Confidence, Effort), we built a dedicated, pure Python manual calculation engine. The LLM focuses purely on natural-language elicitation and qualitative MoSCoW tiers, while Python code computes reach from stakeholder role scopes, impact from core domain value drivers, confidence from ambiguity overlap audits, and effort calibrated directly from actual WBS task hours (hours divided by 160). Requirements are then objectively sorted and ranked in descending order.</w:t>
      </w:r>
    </w:p>
    <w:p>
      <w:pPr>
        <w:spacing w:before="0" w:after="120" w:line="276" w:lineRule="auto"/>
        <w:jc w:val="left"/>
      </w:pPr>
      <w:r>
        <w:rPr>
          <w:rFonts w:ascii="Times New Roman" w:hAnsi="Times New Roman"/>
          <w:color w:val="1E293B"/>
          <w:sz w:val="24"/>
        </w:rPr>
        <w:t>The entire platform runs 100 percent offline on local sovereign AI infrastructure (Ollama with Qwen 2.5:3b, local Qdrant, and local Redis), guaranteeing complete privacy with zero external API fees. The system is guarded by 51 automated unit and integration tests, all of which pass in 13.86 seconds. To rigorously prove classification reliability, we implemented Method A Ground-Truth Benchmarking: we evaluated the Requirements Agent against an authoritative benchmark of 120 human-verified requirements across 10 software domains, achieving 97.5 percent overall accuracy, 95.2 percent functional requirement precision, 100.0 percent recall (F1 = 0.976), and 100.0 percent non-functional requirement precision (F1 = 0.974).</w:t>
      </w:r>
    </w:p>
    <w:p>
      <w:r>
        <w:br w:type="page"/>
      </w:r>
    </w:p>
    <w:p>
      <w:pPr>
        <w:spacing w:before="240" w:after="160"/>
      </w:pPr>
      <w:r>
        <w:rPr>
          <w:rFonts w:ascii="Times New Roman" w:hAnsi="Times New Roman"/>
          <w:b/>
          <w:color w:val="0F172A"/>
          <w:sz w:val="32"/>
        </w:rPr>
        <w:t>Table of Contents</w:t>
      </w:r>
    </w:p>
    <w:p>
      <w:pPr>
        <w:spacing w:before="30" w:after="30" w:line="276" w:lineRule="auto"/>
      </w:pPr>
      <w:r>
        <w:rPr>
          <w:rFonts w:ascii="Times New Roman" w:hAnsi="Times New Roman"/>
          <w:b w:val="0"/>
          <w:color w:val="334155"/>
          <w:sz w:val="22"/>
        </w:rPr>
        <w:t>Abstract</w:t>
      </w:r>
      <w:r>
        <w:rPr>
          <w:rFonts w:ascii="Times New Roman" w:hAnsi="Times New Roman"/>
          <w:color w:val="94A3B8"/>
          <w:sz w:val="20"/>
        </w:rPr>
        <w:t xml:space="preserve"> ........................................................ </w:t>
      </w:r>
      <w:r>
        <w:rPr>
          <w:rFonts w:ascii="Times New Roman" w:hAnsi="Times New Roman"/>
          <w:b w:val="0"/>
          <w:color w:val="334155"/>
          <w:sz w:val="22"/>
        </w:rPr>
        <w:t>2</w:t>
      </w:r>
    </w:p>
    <w:p>
      <w:pPr>
        <w:spacing w:before="30" w:after="30" w:line="276" w:lineRule="auto"/>
      </w:pPr>
      <w:r>
        <w:rPr>
          <w:rFonts w:ascii="Times New Roman" w:hAnsi="Times New Roman"/>
          <w:b/>
          <w:color w:val="0F172A"/>
          <w:sz w:val="22"/>
        </w:rPr>
        <w:t>1 Introduction</w:t>
      </w:r>
      <w:r>
        <w:rPr>
          <w:rFonts w:ascii="Times New Roman" w:hAnsi="Times New Roman"/>
          <w:color w:val="94A3B8"/>
          <w:sz w:val="20"/>
        </w:rPr>
        <w:t xml:space="preserve"> .................................................. </w:t>
      </w:r>
      <w:r>
        <w:rPr>
          <w:rFonts w:ascii="Times New Roman" w:hAnsi="Times New Roman"/>
          <w:b/>
          <w:color w:val="0F172A"/>
          <w:sz w:val="22"/>
        </w:rPr>
        <w:t>5</w:t>
      </w:r>
    </w:p>
    <w:p>
      <w:pPr>
        <w:spacing w:before="30" w:after="30" w:line="276" w:lineRule="auto"/>
      </w:pPr>
      <w:r>
        <w:rPr>
          <w:rFonts w:ascii="Times New Roman" w:hAnsi="Times New Roman"/>
          <w:b w:val="0"/>
          <w:color w:val="334155"/>
          <w:sz w:val="22"/>
        </w:rPr>
        <w:t xml:space="preserve">      1.1 The current situation of software development in industry</w:t>
      </w:r>
      <w:r>
        <w:rPr>
          <w:rFonts w:ascii="Times New Roman" w:hAnsi="Times New Roman"/>
          <w:color w:val="94A3B8"/>
          <w:sz w:val="20"/>
        </w:rPr>
        <w:t xml:space="preserve"> .... </w:t>
      </w:r>
      <w:r>
        <w:rPr>
          <w:rFonts w:ascii="Times New Roman" w:hAnsi="Times New Roman"/>
          <w:b w:val="0"/>
          <w:color w:val="334155"/>
          <w:sz w:val="22"/>
        </w:rPr>
        <w:t>5</w:t>
      </w:r>
    </w:p>
    <w:p>
      <w:pPr>
        <w:spacing w:before="30" w:after="30" w:line="276" w:lineRule="auto"/>
      </w:pPr>
      <w:r>
        <w:rPr>
          <w:rFonts w:ascii="Times New Roman" w:hAnsi="Times New Roman"/>
          <w:b w:val="0"/>
          <w:color w:val="334155"/>
          <w:sz w:val="22"/>
        </w:rPr>
        <w:t xml:space="preserve">      1.2 How is requirement-to-architecture workflow handled today?</w:t>
      </w:r>
      <w:r>
        <w:rPr>
          <w:rFonts w:ascii="Times New Roman" w:hAnsi="Times New Roman"/>
          <w:color w:val="94A3B8"/>
          <w:sz w:val="20"/>
        </w:rPr>
        <w:t xml:space="preserve"> .... </w:t>
      </w:r>
      <w:r>
        <w:rPr>
          <w:rFonts w:ascii="Times New Roman" w:hAnsi="Times New Roman"/>
          <w:b w:val="0"/>
          <w:color w:val="334155"/>
          <w:sz w:val="22"/>
        </w:rPr>
        <w:t>5</w:t>
      </w:r>
    </w:p>
    <w:p>
      <w:pPr>
        <w:spacing w:before="30" w:after="30" w:line="276" w:lineRule="auto"/>
      </w:pPr>
      <w:r>
        <w:rPr>
          <w:rFonts w:ascii="Times New Roman" w:hAnsi="Times New Roman"/>
          <w:b w:val="0"/>
          <w:color w:val="334155"/>
          <w:sz w:val="22"/>
        </w:rPr>
        <w:t xml:space="preserve">      1.3 Problem statement</w:t>
      </w:r>
      <w:r>
        <w:rPr>
          <w:rFonts w:ascii="Times New Roman" w:hAnsi="Times New Roman"/>
          <w:color w:val="94A3B8"/>
          <w:sz w:val="20"/>
        </w:rPr>
        <w:t xml:space="preserve"> ..................................... </w:t>
      </w:r>
      <w:r>
        <w:rPr>
          <w:rFonts w:ascii="Times New Roman" w:hAnsi="Times New Roman"/>
          <w:b w:val="0"/>
          <w:color w:val="334155"/>
          <w:sz w:val="22"/>
        </w:rPr>
        <w:t>6</w:t>
      </w:r>
    </w:p>
    <w:p>
      <w:pPr>
        <w:spacing w:before="30" w:after="30" w:line="276" w:lineRule="auto"/>
      </w:pPr>
      <w:r>
        <w:rPr>
          <w:rFonts w:ascii="Times New Roman" w:hAnsi="Times New Roman"/>
          <w:b w:val="0"/>
          <w:color w:val="334155"/>
          <w:sz w:val="22"/>
        </w:rPr>
        <w:t xml:space="preserve">      1.4 Objectives</w:t>
      </w:r>
      <w:r>
        <w:rPr>
          <w:rFonts w:ascii="Times New Roman" w:hAnsi="Times New Roman"/>
          <w:color w:val="94A3B8"/>
          <w:sz w:val="20"/>
        </w:rPr>
        <w:t xml:space="preserve"> ............................................ </w:t>
      </w:r>
      <w:r>
        <w:rPr>
          <w:rFonts w:ascii="Times New Roman" w:hAnsi="Times New Roman"/>
          <w:b w:val="0"/>
          <w:color w:val="334155"/>
          <w:sz w:val="22"/>
        </w:rPr>
        <w:t>6</w:t>
      </w:r>
    </w:p>
    <w:p>
      <w:pPr>
        <w:spacing w:before="30" w:after="30" w:line="276" w:lineRule="auto"/>
      </w:pPr>
      <w:r>
        <w:rPr>
          <w:rFonts w:ascii="Times New Roman" w:hAnsi="Times New Roman"/>
          <w:b w:val="0"/>
          <w:color w:val="334155"/>
          <w:sz w:val="22"/>
        </w:rPr>
        <w:t xml:space="preserve">      1.5 Scope and organisation of the report</w:t>
      </w:r>
      <w:r>
        <w:rPr>
          <w:rFonts w:ascii="Times New Roman" w:hAnsi="Times New Roman"/>
          <w:color w:val="94A3B8"/>
          <w:sz w:val="20"/>
        </w:rPr>
        <w:t xml:space="preserve"> .................. </w:t>
      </w:r>
      <w:r>
        <w:rPr>
          <w:rFonts w:ascii="Times New Roman" w:hAnsi="Times New Roman"/>
          <w:b w:val="0"/>
          <w:color w:val="334155"/>
          <w:sz w:val="22"/>
        </w:rPr>
        <w:t>7</w:t>
      </w:r>
    </w:p>
    <w:p>
      <w:pPr>
        <w:spacing w:before="30" w:after="30" w:line="276" w:lineRule="auto"/>
      </w:pPr>
      <w:r>
        <w:rPr>
          <w:rFonts w:ascii="Times New Roman" w:hAnsi="Times New Roman"/>
          <w:b/>
          <w:color w:val="0F172A"/>
          <w:sz w:val="22"/>
        </w:rPr>
        <w:t>2 Literature Survey</w:t>
      </w:r>
      <w:r>
        <w:rPr>
          <w:rFonts w:ascii="Times New Roman" w:hAnsi="Times New Roman"/>
          <w:color w:val="94A3B8"/>
          <w:sz w:val="20"/>
        </w:rPr>
        <w:t xml:space="preserve"> ............................................. </w:t>
      </w:r>
      <w:r>
        <w:rPr>
          <w:rFonts w:ascii="Times New Roman" w:hAnsi="Times New Roman"/>
          <w:b/>
          <w:color w:val="0F172A"/>
          <w:sz w:val="22"/>
        </w:rPr>
        <w:t>8</w:t>
      </w:r>
    </w:p>
    <w:p>
      <w:pPr>
        <w:spacing w:before="30" w:after="30" w:line="276" w:lineRule="auto"/>
      </w:pPr>
      <w:r>
        <w:rPr>
          <w:rFonts w:ascii="Times New Roman" w:hAnsi="Times New Roman"/>
          <w:b w:val="0"/>
          <w:color w:val="334155"/>
          <w:sz w:val="22"/>
        </w:rPr>
        <w:t xml:space="preserve">      2.1 Survey on Multi-Agent Systems in Software Engineering</w:t>
      </w:r>
      <w:r>
        <w:rPr>
          <w:rFonts w:ascii="Times New Roman" w:hAnsi="Times New Roman"/>
          <w:color w:val="94A3B8"/>
          <w:sz w:val="20"/>
        </w:rPr>
        <w:t xml:space="preserve"> .... </w:t>
      </w:r>
      <w:r>
        <w:rPr>
          <w:rFonts w:ascii="Times New Roman" w:hAnsi="Times New Roman"/>
          <w:b w:val="0"/>
          <w:color w:val="334155"/>
          <w:sz w:val="22"/>
        </w:rPr>
        <w:t>8</w:t>
      </w:r>
    </w:p>
    <w:p>
      <w:pPr>
        <w:spacing w:before="30" w:after="30" w:line="276" w:lineRule="auto"/>
      </w:pPr>
      <w:r>
        <w:rPr>
          <w:rFonts w:ascii="Times New Roman" w:hAnsi="Times New Roman"/>
          <w:b w:val="0"/>
          <w:color w:val="334155"/>
          <w:sz w:val="22"/>
        </w:rPr>
        <w:t xml:space="preserve">      2.2 ReqInOne: A Large Language Model-Based Agent for SRS Generation</w:t>
      </w:r>
      <w:r>
        <w:rPr>
          <w:rFonts w:ascii="Times New Roman" w:hAnsi="Times New Roman"/>
          <w:color w:val="94A3B8"/>
          <w:sz w:val="20"/>
        </w:rPr>
        <w:t xml:space="preserve"> .... </w:t>
      </w:r>
      <w:r>
        <w:rPr>
          <w:rFonts w:ascii="Times New Roman" w:hAnsi="Times New Roman"/>
          <w:b w:val="0"/>
          <w:color w:val="334155"/>
          <w:sz w:val="22"/>
        </w:rPr>
        <w:t>8</w:t>
      </w:r>
    </w:p>
    <w:p>
      <w:pPr>
        <w:spacing w:before="30" w:after="30" w:line="276" w:lineRule="auto"/>
      </w:pPr>
      <w:r>
        <w:rPr>
          <w:rFonts w:ascii="Times New Roman" w:hAnsi="Times New Roman"/>
          <w:b w:val="0"/>
          <w:color w:val="334155"/>
          <w:sz w:val="22"/>
        </w:rPr>
        <w:t xml:space="preserve">      2.3 Bridging Requirements and Architecture: Multi-Agent Orchestration (MAAD)</w:t>
      </w:r>
      <w:r>
        <w:rPr>
          <w:rFonts w:ascii="Times New Roman" w:hAnsi="Times New Roman"/>
          <w:color w:val="94A3B8"/>
          <w:sz w:val="20"/>
        </w:rPr>
        <w:t xml:space="preserve"> .... </w:t>
      </w:r>
      <w:r>
        <w:rPr>
          <w:rFonts w:ascii="Times New Roman" w:hAnsi="Times New Roman"/>
          <w:b w:val="0"/>
          <w:color w:val="334155"/>
          <w:sz w:val="22"/>
        </w:rPr>
        <w:t>9</w:t>
      </w:r>
    </w:p>
    <w:p>
      <w:pPr>
        <w:spacing w:before="30" w:after="30" w:line="276" w:lineRule="auto"/>
      </w:pPr>
      <w:r>
        <w:rPr>
          <w:rFonts w:ascii="Times New Roman" w:hAnsi="Times New Roman"/>
          <w:b w:val="0"/>
          <w:color w:val="334155"/>
          <w:sz w:val="22"/>
        </w:rPr>
        <w:t xml:space="preserve">      2.4 AI-based Multiagent Approach for Requirements Elicitation and Analysis</w:t>
      </w:r>
      <w:r>
        <w:rPr>
          <w:rFonts w:ascii="Times New Roman" w:hAnsi="Times New Roman"/>
          <w:color w:val="94A3B8"/>
          <w:sz w:val="20"/>
        </w:rPr>
        <w:t xml:space="preserve"> .... </w:t>
      </w:r>
      <w:r>
        <w:rPr>
          <w:rFonts w:ascii="Times New Roman" w:hAnsi="Times New Roman"/>
          <w:b w:val="0"/>
          <w:color w:val="334155"/>
          <w:sz w:val="22"/>
        </w:rPr>
        <w:t>9</w:t>
      </w:r>
    </w:p>
    <w:p>
      <w:pPr>
        <w:spacing w:before="30" w:after="30" w:line="276" w:lineRule="auto"/>
      </w:pPr>
      <w:r>
        <w:rPr>
          <w:rFonts w:ascii="Times New Roman" w:hAnsi="Times New Roman"/>
          <w:b w:val="0"/>
          <w:color w:val="334155"/>
          <w:sz w:val="22"/>
        </w:rPr>
        <w:t xml:space="preserve">      2.5 Requirement Quality Benchmarking and Traceability in Automated SE</w:t>
      </w:r>
      <w:r>
        <w:rPr>
          <w:rFonts w:ascii="Times New Roman" w:hAnsi="Times New Roman"/>
          <w:color w:val="94A3B8"/>
          <w:sz w:val="20"/>
        </w:rPr>
        <w:t xml:space="preserve"> .... </w:t>
      </w:r>
      <w:r>
        <w:rPr>
          <w:rFonts w:ascii="Times New Roman" w:hAnsi="Times New Roman"/>
          <w:b w:val="0"/>
          <w:color w:val="334155"/>
          <w:sz w:val="22"/>
        </w:rPr>
        <w:t>10</w:t>
      </w:r>
    </w:p>
    <w:p>
      <w:pPr>
        <w:spacing w:before="30" w:after="30" w:line="276" w:lineRule="auto"/>
      </w:pPr>
      <w:r>
        <w:rPr>
          <w:rFonts w:ascii="Times New Roman" w:hAnsi="Times New Roman"/>
          <w:b w:val="0"/>
          <w:color w:val="334155"/>
          <w:sz w:val="22"/>
        </w:rPr>
        <w:t xml:space="preserve">      2.6 The research gap</w:t>
      </w:r>
      <w:r>
        <w:rPr>
          <w:rFonts w:ascii="Times New Roman" w:hAnsi="Times New Roman"/>
          <w:color w:val="94A3B8"/>
          <w:sz w:val="20"/>
        </w:rPr>
        <w:t xml:space="preserve"> ..................................... </w:t>
      </w:r>
      <w:r>
        <w:rPr>
          <w:rFonts w:ascii="Times New Roman" w:hAnsi="Times New Roman"/>
          <w:b w:val="0"/>
          <w:color w:val="334155"/>
          <w:sz w:val="22"/>
        </w:rPr>
        <w:t>10</w:t>
      </w:r>
    </w:p>
    <w:p>
      <w:pPr>
        <w:spacing w:before="30" w:after="30" w:line="276" w:lineRule="auto"/>
      </w:pPr>
      <w:r>
        <w:rPr>
          <w:rFonts w:ascii="Times New Roman" w:hAnsi="Times New Roman"/>
          <w:b/>
          <w:color w:val="0F172A"/>
          <w:sz w:val="22"/>
        </w:rPr>
        <w:t>3 Proposed Solution</w:t>
      </w:r>
      <w:r>
        <w:rPr>
          <w:rFonts w:ascii="Times New Roman" w:hAnsi="Times New Roman"/>
          <w:color w:val="94A3B8"/>
          <w:sz w:val="20"/>
        </w:rPr>
        <w:t xml:space="preserve"> ............................................ </w:t>
      </w:r>
      <w:r>
        <w:rPr>
          <w:rFonts w:ascii="Times New Roman" w:hAnsi="Times New Roman"/>
          <w:b/>
          <w:color w:val="0F172A"/>
          <w:sz w:val="22"/>
        </w:rPr>
        <w:t>12</w:t>
      </w:r>
    </w:p>
    <w:p>
      <w:pPr>
        <w:spacing w:before="30" w:after="30" w:line="276" w:lineRule="auto"/>
      </w:pPr>
      <w:r>
        <w:rPr>
          <w:rFonts w:ascii="Times New Roman" w:hAnsi="Times New Roman"/>
          <w:b/>
          <w:color w:val="0F172A"/>
          <w:sz w:val="22"/>
        </w:rPr>
        <w:t>4 System Architecture</w:t>
      </w:r>
      <w:r>
        <w:rPr>
          <w:rFonts w:ascii="Times New Roman" w:hAnsi="Times New Roman"/>
          <w:color w:val="94A3B8"/>
          <w:sz w:val="20"/>
        </w:rPr>
        <w:t xml:space="preserve"> .......................................... </w:t>
      </w:r>
      <w:r>
        <w:rPr>
          <w:rFonts w:ascii="Times New Roman" w:hAnsi="Times New Roman"/>
          <w:b/>
          <w:color w:val="0F172A"/>
          <w:sz w:val="22"/>
        </w:rPr>
        <w:t>14</w:t>
      </w:r>
    </w:p>
    <w:p>
      <w:pPr>
        <w:spacing w:before="30" w:after="30" w:line="276" w:lineRule="auto"/>
      </w:pPr>
      <w:r>
        <w:rPr>
          <w:rFonts w:ascii="Times New Roman" w:hAnsi="Times New Roman"/>
          <w:b w:val="0"/>
          <w:color w:val="334155"/>
          <w:sz w:val="22"/>
        </w:rPr>
        <w:t xml:space="preserve">      4.1 The client and the server</w:t>
      </w:r>
      <w:r>
        <w:rPr>
          <w:rFonts w:ascii="Times New Roman" w:hAnsi="Times New Roman"/>
          <w:color w:val="94A3B8"/>
          <w:sz w:val="20"/>
        </w:rPr>
        <w:t xml:space="preserve"> ............................ </w:t>
      </w:r>
      <w:r>
        <w:rPr>
          <w:rFonts w:ascii="Times New Roman" w:hAnsi="Times New Roman"/>
          <w:b w:val="0"/>
          <w:color w:val="334155"/>
          <w:sz w:val="22"/>
        </w:rPr>
        <w:t>15</w:t>
      </w:r>
    </w:p>
    <w:p>
      <w:pPr>
        <w:spacing w:before="30" w:after="30" w:line="276" w:lineRule="auto"/>
      </w:pPr>
      <w:r>
        <w:rPr>
          <w:rFonts w:ascii="Times New Roman" w:hAnsi="Times New Roman"/>
          <w:b w:val="0"/>
          <w:color w:val="334155"/>
          <w:sz w:val="22"/>
        </w:rPr>
        <w:t xml:space="preserve">      4.2 Running 100% offline without any paid service</w:t>
      </w:r>
      <w:r>
        <w:rPr>
          <w:rFonts w:ascii="Times New Roman" w:hAnsi="Times New Roman"/>
          <w:color w:val="94A3B8"/>
          <w:sz w:val="20"/>
        </w:rPr>
        <w:t xml:space="preserve"> ........ </w:t>
      </w:r>
      <w:r>
        <w:rPr>
          <w:rFonts w:ascii="Times New Roman" w:hAnsi="Times New Roman"/>
          <w:b w:val="0"/>
          <w:color w:val="334155"/>
          <w:sz w:val="22"/>
        </w:rPr>
        <w:t>16</w:t>
      </w:r>
    </w:p>
    <w:p>
      <w:pPr>
        <w:spacing w:before="30" w:after="30" w:line="276" w:lineRule="auto"/>
      </w:pPr>
      <w:r>
        <w:rPr>
          <w:rFonts w:ascii="Times New Roman" w:hAnsi="Times New Roman"/>
          <w:b w:val="0"/>
          <w:color w:val="334155"/>
          <w:sz w:val="22"/>
        </w:rPr>
        <w:t xml:space="preserve">      4.3 Implementation status</w:t>
      </w:r>
      <w:r>
        <w:rPr>
          <w:rFonts w:ascii="Times New Roman" w:hAnsi="Times New Roman"/>
          <w:color w:val="94A3B8"/>
          <w:sz w:val="20"/>
        </w:rPr>
        <w:t xml:space="preserve"> ................................ </w:t>
      </w:r>
      <w:r>
        <w:rPr>
          <w:rFonts w:ascii="Times New Roman" w:hAnsi="Times New Roman"/>
          <w:b w:val="0"/>
          <w:color w:val="334155"/>
          <w:sz w:val="22"/>
        </w:rPr>
        <w:t>16</w:t>
      </w:r>
    </w:p>
    <w:p>
      <w:pPr>
        <w:spacing w:before="30" w:after="30" w:line="276" w:lineRule="auto"/>
      </w:pPr>
      <w:r>
        <w:rPr>
          <w:rFonts w:ascii="Times New Roman" w:hAnsi="Times New Roman"/>
          <w:b w:val="0"/>
          <w:color w:val="334155"/>
          <w:sz w:val="22"/>
        </w:rPr>
        <w:t xml:space="preserve">      4.4 Technology stack</w:t>
      </w:r>
      <w:r>
        <w:rPr>
          <w:rFonts w:ascii="Times New Roman" w:hAnsi="Times New Roman"/>
          <w:color w:val="94A3B8"/>
          <w:sz w:val="20"/>
        </w:rPr>
        <w:t xml:space="preserve"> ..................................... </w:t>
      </w:r>
      <w:r>
        <w:rPr>
          <w:rFonts w:ascii="Times New Roman" w:hAnsi="Times New Roman"/>
          <w:b w:val="0"/>
          <w:color w:val="334155"/>
          <w:sz w:val="22"/>
        </w:rPr>
        <w:t>17</w:t>
      </w:r>
    </w:p>
    <w:p>
      <w:pPr>
        <w:spacing w:before="30" w:after="30" w:line="276" w:lineRule="auto"/>
      </w:pPr>
      <w:r>
        <w:rPr>
          <w:rFonts w:ascii="Times New Roman" w:hAnsi="Times New Roman"/>
          <w:b/>
          <w:color w:val="0F172A"/>
          <w:sz w:val="22"/>
        </w:rPr>
        <w:t>5 Functional Elements</w:t>
      </w:r>
      <w:r>
        <w:rPr>
          <w:rFonts w:ascii="Times New Roman" w:hAnsi="Times New Roman"/>
          <w:color w:val="94A3B8"/>
          <w:sz w:val="20"/>
        </w:rPr>
        <w:t xml:space="preserve"> .......................................... </w:t>
      </w:r>
      <w:r>
        <w:rPr>
          <w:rFonts w:ascii="Times New Roman" w:hAnsi="Times New Roman"/>
          <w:b/>
          <w:color w:val="0F172A"/>
          <w:sz w:val="22"/>
        </w:rPr>
        <w:t>19</w:t>
      </w:r>
    </w:p>
    <w:p>
      <w:pPr>
        <w:spacing w:before="30" w:after="30" w:line="276" w:lineRule="auto"/>
      </w:pPr>
      <w:r>
        <w:rPr>
          <w:rFonts w:ascii="Times New Roman" w:hAnsi="Times New Roman"/>
          <w:b w:val="0"/>
          <w:color w:val="334155"/>
          <w:sz w:val="22"/>
        </w:rPr>
        <w:t xml:space="preserve">      5.1 The Requirement Analysis Agent &amp; Manual RICE Prioritization Engine</w:t>
      </w:r>
      <w:r>
        <w:rPr>
          <w:rFonts w:ascii="Times New Roman" w:hAnsi="Times New Roman"/>
          <w:color w:val="94A3B8"/>
          <w:sz w:val="20"/>
        </w:rPr>
        <w:t xml:space="preserve"> .... </w:t>
      </w:r>
      <w:r>
        <w:rPr>
          <w:rFonts w:ascii="Times New Roman" w:hAnsi="Times New Roman"/>
          <w:b w:val="0"/>
          <w:color w:val="334155"/>
          <w:sz w:val="22"/>
        </w:rPr>
        <w:t>20</w:t>
      </w:r>
    </w:p>
    <w:p>
      <w:pPr>
        <w:spacing w:before="30" w:after="30" w:line="276" w:lineRule="auto"/>
      </w:pPr>
      <w:r>
        <w:rPr>
          <w:rFonts w:ascii="Times New Roman" w:hAnsi="Times New Roman"/>
          <w:b w:val="0"/>
          <w:color w:val="334155"/>
          <w:sz w:val="22"/>
        </w:rPr>
        <w:t xml:space="preserve">      5.2 Project Planning Agent &amp; Work Breakdown Structure (WBS)</w:t>
      </w:r>
      <w:r>
        <w:rPr>
          <w:rFonts w:ascii="Times New Roman" w:hAnsi="Times New Roman"/>
          <w:color w:val="94A3B8"/>
          <w:sz w:val="20"/>
        </w:rPr>
        <w:t xml:space="preserve"> .... </w:t>
      </w:r>
      <w:r>
        <w:rPr>
          <w:rFonts w:ascii="Times New Roman" w:hAnsi="Times New Roman"/>
          <w:b w:val="0"/>
          <w:color w:val="334155"/>
          <w:sz w:val="22"/>
        </w:rPr>
        <w:t>22</w:t>
      </w:r>
    </w:p>
    <w:p>
      <w:pPr>
        <w:spacing w:before="30" w:after="30" w:line="276" w:lineRule="auto"/>
      </w:pPr>
      <w:r>
        <w:rPr>
          <w:rFonts w:ascii="Times New Roman" w:hAnsi="Times New Roman"/>
          <w:b w:val="0"/>
          <w:color w:val="334155"/>
          <w:sz w:val="22"/>
        </w:rPr>
        <w:t xml:space="preserve">      5.3 Architecture Design Agent, C4 Topology &amp; Competitive ADRs</w:t>
      </w:r>
      <w:r>
        <w:rPr>
          <w:rFonts w:ascii="Times New Roman" w:hAnsi="Times New Roman"/>
          <w:color w:val="94A3B8"/>
          <w:sz w:val="20"/>
        </w:rPr>
        <w:t xml:space="preserve"> .... </w:t>
      </w:r>
      <w:r>
        <w:rPr>
          <w:rFonts w:ascii="Times New Roman" w:hAnsi="Times New Roman"/>
          <w:b w:val="0"/>
          <w:color w:val="334155"/>
          <w:sz w:val="22"/>
        </w:rPr>
        <w:t>24</w:t>
      </w:r>
    </w:p>
    <w:p>
      <w:pPr>
        <w:spacing w:before="30" w:after="30" w:line="276" w:lineRule="auto"/>
      </w:pPr>
      <w:r>
        <w:rPr>
          <w:rFonts w:ascii="Times New Roman" w:hAnsi="Times New Roman"/>
          <w:b w:val="0"/>
          <w:color w:val="334155"/>
          <w:sz w:val="22"/>
        </w:rPr>
        <w:t xml:space="preserve">      5.4 Evidence-Grounded RAG Agent &amp; Academic Literature Citations</w:t>
      </w:r>
      <w:r>
        <w:rPr>
          <w:rFonts w:ascii="Times New Roman" w:hAnsi="Times New Roman"/>
          <w:color w:val="94A3B8"/>
          <w:sz w:val="20"/>
        </w:rPr>
        <w:t xml:space="preserve"> .... </w:t>
      </w:r>
      <w:r>
        <w:rPr>
          <w:rFonts w:ascii="Times New Roman" w:hAnsi="Times New Roman"/>
          <w:b w:val="0"/>
          <w:color w:val="334155"/>
          <w:sz w:val="22"/>
        </w:rPr>
        <w:t>26</w:t>
      </w:r>
    </w:p>
    <w:p>
      <w:pPr>
        <w:spacing w:before="30" w:after="30" w:line="276" w:lineRule="auto"/>
      </w:pPr>
      <w:r>
        <w:rPr>
          <w:rFonts w:ascii="Times New Roman" w:hAnsi="Times New Roman"/>
          <w:b w:val="0"/>
          <w:color w:val="334155"/>
          <w:sz w:val="22"/>
        </w:rPr>
        <w:t xml:space="preserve">      5.5 Two-Phase Validation Agent &amp; Deterministic Graph Quality Scoring</w:t>
      </w:r>
      <w:r>
        <w:rPr>
          <w:rFonts w:ascii="Times New Roman" w:hAnsi="Times New Roman"/>
          <w:color w:val="94A3B8"/>
          <w:sz w:val="20"/>
        </w:rPr>
        <w:t xml:space="preserve"> .... </w:t>
      </w:r>
      <w:r>
        <w:rPr>
          <w:rFonts w:ascii="Times New Roman" w:hAnsi="Times New Roman"/>
          <w:b w:val="0"/>
          <w:color w:val="334155"/>
          <w:sz w:val="22"/>
        </w:rPr>
        <w:t>28</w:t>
      </w:r>
    </w:p>
    <w:p>
      <w:pPr>
        <w:spacing w:before="30" w:after="30" w:line="276" w:lineRule="auto"/>
      </w:pPr>
      <w:r>
        <w:rPr>
          <w:rFonts w:ascii="Times New Roman" w:hAnsi="Times New Roman"/>
          <w:b w:val="0"/>
          <w:color w:val="334155"/>
          <w:sz w:val="22"/>
        </w:rPr>
        <w:t xml:space="preserve">      5.6 Transitive Blast Radius Analysis &amp; Targeted Selective Regeneration</w:t>
      </w:r>
      <w:r>
        <w:rPr>
          <w:rFonts w:ascii="Times New Roman" w:hAnsi="Times New Roman"/>
          <w:color w:val="94A3B8"/>
          <w:sz w:val="20"/>
        </w:rPr>
        <w:t xml:space="preserve"> .... </w:t>
      </w:r>
      <w:r>
        <w:rPr>
          <w:rFonts w:ascii="Times New Roman" w:hAnsi="Times New Roman"/>
          <w:b w:val="0"/>
          <w:color w:val="334155"/>
          <w:sz w:val="22"/>
        </w:rPr>
        <w:t>30</w:t>
      </w:r>
    </w:p>
    <w:p>
      <w:pPr>
        <w:spacing w:before="30" w:after="30" w:line="276" w:lineRule="auto"/>
      </w:pPr>
      <w:r>
        <w:rPr>
          <w:rFonts w:ascii="Times New Roman" w:hAnsi="Times New Roman"/>
          <w:b w:val="0"/>
          <w:color w:val="334155"/>
          <w:sz w:val="22"/>
        </w:rPr>
        <w:t xml:space="preserve">      5.7 User interface</w:t>
      </w:r>
      <w:r>
        <w:rPr>
          <w:rFonts w:ascii="Times New Roman" w:hAnsi="Times New Roman"/>
          <w:color w:val="94A3B8"/>
          <w:sz w:val="20"/>
        </w:rPr>
        <w:t xml:space="preserve"> ....................................... </w:t>
      </w:r>
      <w:r>
        <w:rPr>
          <w:rFonts w:ascii="Times New Roman" w:hAnsi="Times New Roman"/>
          <w:b w:val="0"/>
          <w:color w:val="334155"/>
          <w:sz w:val="22"/>
        </w:rPr>
        <w:t>32</w:t>
      </w:r>
    </w:p>
    <w:p>
      <w:pPr>
        <w:spacing w:before="30" w:after="30" w:line="276" w:lineRule="auto"/>
      </w:pPr>
      <w:r>
        <w:rPr>
          <w:rFonts w:ascii="Times New Roman" w:hAnsi="Times New Roman"/>
          <w:b w:val="0"/>
          <w:color w:val="334155"/>
          <w:sz w:val="22"/>
        </w:rPr>
        <w:t xml:space="preserve">      5.8 Results and evaluation</w:t>
      </w:r>
      <w:r>
        <w:rPr>
          <w:rFonts w:ascii="Times New Roman" w:hAnsi="Times New Roman"/>
          <w:color w:val="94A3B8"/>
          <w:sz w:val="20"/>
        </w:rPr>
        <w:t xml:space="preserve"> ............................... </w:t>
      </w:r>
      <w:r>
        <w:rPr>
          <w:rFonts w:ascii="Times New Roman" w:hAnsi="Times New Roman"/>
          <w:b w:val="0"/>
          <w:color w:val="334155"/>
          <w:sz w:val="22"/>
        </w:rPr>
        <w:t>38</w:t>
      </w:r>
    </w:p>
    <w:p>
      <w:pPr>
        <w:spacing w:before="30" w:after="30" w:line="276" w:lineRule="auto"/>
      </w:pPr>
      <w:r>
        <w:rPr>
          <w:rFonts w:ascii="Times New Roman" w:hAnsi="Times New Roman"/>
          <w:b w:val="0"/>
          <w:color w:val="334155"/>
          <w:sz w:val="22"/>
        </w:rPr>
        <w:t xml:space="preserve">      5.9 How the scores are calculated and tested</w:t>
      </w:r>
      <w:r>
        <w:rPr>
          <w:rFonts w:ascii="Times New Roman" w:hAnsi="Times New Roman"/>
          <w:color w:val="94A3B8"/>
          <w:sz w:val="20"/>
        </w:rPr>
        <w:t xml:space="preserve"> ............. </w:t>
      </w:r>
      <w:r>
        <w:rPr>
          <w:rFonts w:ascii="Times New Roman" w:hAnsi="Times New Roman"/>
          <w:b w:val="0"/>
          <w:color w:val="334155"/>
          <w:sz w:val="22"/>
        </w:rPr>
        <w:t>40</w:t>
      </w:r>
    </w:p>
    <w:p>
      <w:pPr>
        <w:spacing w:before="30" w:after="30" w:line="276" w:lineRule="auto"/>
      </w:pPr>
      <w:r>
        <w:rPr>
          <w:rFonts w:ascii="Times New Roman" w:hAnsi="Times New Roman"/>
          <w:b w:val="0"/>
          <w:color w:val="334155"/>
          <w:sz w:val="22"/>
        </w:rPr>
        <w:t xml:space="preserve">      5.10 The Ground-Truth Benchmark Dataset &amp; Classification Evaluation (Method A)</w:t>
      </w:r>
      <w:r>
        <w:rPr>
          <w:rFonts w:ascii="Times New Roman" w:hAnsi="Times New Roman"/>
          <w:color w:val="94A3B8"/>
          <w:sz w:val="20"/>
        </w:rPr>
        <w:t xml:space="preserve"> .... </w:t>
      </w:r>
      <w:r>
        <w:rPr>
          <w:rFonts w:ascii="Times New Roman" w:hAnsi="Times New Roman"/>
          <w:b w:val="0"/>
          <w:color w:val="334155"/>
          <w:sz w:val="22"/>
        </w:rPr>
        <w:t>43</w:t>
      </w:r>
    </w:p>
    <w:p>
      <w:pPr>
        <w:spacing w:before="30" w:after="30" w:line="276" w:lineRule="auto"/>
      </w:pPr>
      <w:r>
        <w:rPr>
          <w:rFonts w:ascii="Times New Roman" w:hAnsi="Times New Roman"/>
          <w:b/>
          <w:color w:val="0F172A"/>
          <w:sz w:val="22"/>
        </w:rPr>
        <w:t>6 Novelty</w:t>
      </w:r>
      <w:r>
        <w:rPr>
          <w:rFonts w:ascii="Times New Roman" w:hAnsi="Times New Roman"/>
          <w:color w:val="94A3B8"/>
          <w:sz w:val="20"/>
        </w:rPr>
        <w:t xml:space="preserve"> ...................................................... </w:t>
      </w:r>
      <w:r>
        <w:rPr>
          <w:rFonts w:ascii="Times New Roman" w:hAnsi="Times New Roman"/>
          <w:b/>
          <w:color w:val="0F172A"/>
          <w:sz w:val="22"/>
        </w:rPr>
        <w:t>47</w:t>
      </w:r>
    </w:p>
    <w:p>
      <w:pPr>
        <w:spacing w:before="30" w:after="30" w:line="276" w:lineRule="auto"/>
      </w:pPr>
      <w:r>
        <w:rPr>
          <w:rFonts w:ascii="Times New Roman" w:hAnsi="Times New Roman"/>
          <w:b w:val="0"/>
          <w:color w:val="334155"/>
          <w:sz w:val="22"/>
        </w:rPr>
        <w:t xml:space="preserve">      6.1 Novelty</w:t>
      </w:r>
      <w:r>
        <w:rPr>
          <w:rFonts w:ascii="Times New Roman" w:hAnsi="Times New Roman"/>
          <w:color w:val="94A3B8"/>
          <w:sz w:val="20"/>
        </w:rPr>
        <w:t xml:space="preserve"> .............................................. </w:t>
      </w:r>
      <w:r>
        <w:rPr>
          <w:rFonts w:ascii="Times New Roman" w:hAnsi="Times New Roman"/>
          <w:b w:val="0"/>
          <w:color w:val="334155"/>
          <w:sz w:val="22"/>
        </w:rPr>
        <w:t>47</w:t>
      </w:r>
    </w:p>
    <w:p>
      <w:pPr>
        <w:spacing w:before="30" w:after="30" w:line="276" w:lineRule="auto"/>
      </w:pPr>
      <w:r>
        <w:rPr>
          <w:rFonts w:ascii="Times New Roman" w:hAnsi="Times New Roman"/>
          <w:b/>
          <w:color w:val="0F172A"/>
          <w:sz w:val="22"/>
        </w:rPr>
        <w:t>7 Conclusion and Future Work</w:t>
      </w:r>
      <w:r>
        <w:rPr>
          <w:rFonts w:ascii="Times New Roman" w:hAnsi="Times New Roman"/>
          <w:color w:val="94A3B8"/>
          <w:sz w:val="20"/>
        </w:rPr>
        <w:t xml:space="preserve"> ................................... </w:t>
      </w:r>
      <w:r>
        <w:rPr>
          <w:rFonts w:ascii="Times New Roman" w:hAnsi="Times New Roman"/>
          <w:b/>
          <w:color w:val="0F172A"/>
          <w:sz w:val="22"/>
        </w:rPr>
        <w:t>49</w:t>
      </w:r>
    </w:p>
    <w:p>
      <w:pPr>
        <w:spacing w:before="30" w:after="30" w:line="276" w:lineRule="auto"/>
      </w:pPr>
      <w:r>
        <w:rPr>
          <w:rFonts w:ascii="Times New Roman" w:hAnsi="Times New Roman"/>
          <w:b/>
          <w:color w:val="0F172A"/>
          <w:sz w:val="22"/>
        </w:rPr>
        <w:t>References</w:t>
      </w:r>
      <w:r>
        <w:rPr>
          <w:rFonts w:ascii="Times New Roman" w:hAnsi="Times New Roman"/>
          <w:color w:val="94A3B8"/>
          <w:sz w:val="20"/>
        </w:rPr>
        <w:t xml:space="preserve"> ..................................................... </w:t>
      </w:r>
      <w:r>
        <w:rPr>
          <w:rFonts w:ascii="Times New Roman" w:hAnsi="Times New Roman"/>
          <w:b/>
          <w:color w:val="0F172A"/>
          <w:sz w:val="22"/>
        </w:rPr>
        <w:t>50</w:t>
      </w:r>
    </w:p>
    <w:p>
      <w:pPr>
        <w:spacing w:before="30" w:after="30" w:line="276" w:lineRule="auto"/>
      </w:pPr>
      <w:r>
        <w:rPr>
          <w:rFonts w:ascii="Times New Roman" w:hAnsi="Times New Roman"/>
          <w:b/>
          <w:color w:val="0F172A"/>
          <w:sz w:val="22"/>
        </w:rPr>
        <w:t>Appendix A Traceability Matrix &amp; Topological Dependency Analysis</w:t>
      </w:r>
      <w:r>
        <w:rPr>
          <w:rFonts w:ascii="Times New Roman" w:hAnsi="Times New Roman"/>
          <w:color w:val="94A3B8"/>
          <w:sz w:val="20"/>
        </w:rPr>
        <w:t xml:space="preserve"> .... </w:t>
      </w:r>
      <w:r>
        <w:rPr>
          <w:rFonts w:ascii="Times New Roman" w:hAnsi="Times New Roman"/>
          <w:b/>
          <w:color w:val="0F172A"/>
          <w:sz w:val="22"/>
        </w:rPr>
        <w:t>52</w:t>
      </w:r>
    </w:p>
    <w:p>
      <w:r>
        <w:br w:type="page"/>
      </w:r>
    </w:p>
    <w:p>
      <w:pPr>
        <w:spacing w:before="240" w:after="160"/>
      </w:pPr>
      <w:r>
        <w:rPr>
          <w:rFonts w:ascii="Times New Roman" w:hAnsi="Times New Roman"/>
          <w:b/>
          <w:color w:val="0F172A"/>
          <w:sz w:val="32"/>
        </w:rPr>
        <w:t>List of Figures</w:t>
      </w:r>
    </w:p>
    <w:p>
      <w:pPr>
        <w:spacing w:before="40" w:after="50" w:line="276" w:lineRule="auto"/>
      </w:pPr>
      <w:r>
        <w:rPr>
          <w:rFonts w:ascii="Times New Roman" w:hAnsi="Times New Roman"/>
          <w:b/>
          <w:color w:val="0F172A"/>
          <w:sz w:val="22"/>
        </w:rPr>
        <w:t xml:space="preserve">Figure 1  </w:t>
      </w:r>
      <w:r>
        <w:rPr>
          <w:rFonts w:ascii="Times New Roman" w:hAnsi="Times New Roman"/>
          <w:color w:val="334155"/>
          <w:sz w:val="22"/>
        </w:rPr>
        <w:t>System Architecture &amp; Multi-Agent Workflow: From natural language idea to validated SDLC blueprint.</w:t>
      </w:r>
    </w:p>
    <w:p>
      <w:pPr>
        <w:spacing w:before="40" w:after="50" w:line="276" w:lineRule="auto"/>
      </w:pPr>
      <w:r>
        <w:rPr>
          <w:rFonts w:ascii="Times New Roman" w:hAnsi="Times New Roman"/>
          <w:b/>
          <w:color w:val="0F172A"/>
          <w:sz w:val="22"/>
        </w:rPr>
        <w:t xml:space="preserve">Figure 2  </w:t>
      </w:r>
      <w:r>
        <w:rPr>
          <w:rFonts w:ascii="Times New Roman" w:hAnsi="Times New Roman"/>
          <w:color w:val="334155"/>
          <w:sz w:val="22"/>
        </w:rPr>
        <w:t>Multi-agent state transition and dependency graph across pipeline phases.</w:t>
      </w:r>
    </w:p>
    <w:p>
      <w:pPr>
        <w:spacing w:before="40" w:after="50" w:line="276" w:lineRule="auto"/>
      </w:pPr>
      <w:r>
        <w:rPr>
          <w:rFonts w:ascii="Times New Roman" w:hAnsi="Times New Roman"/>
          <w:b/>
          <w:color w:val="0F172A"/>
          <w:sz w:val="22"/>
        </w:rPr>
        <w:t xml:space="preserve">Figure 3  </w:t>
      </w:r>
      <w:r>
        <w:rPr>
          <w:rFonts w:ascii="Times New Roman" w:hAnsi="Times New Roman"/>
          <w:color w:val="334155"/>
          <w:sz w:val="22"/>
        </w:rPr>
        <w:t>Manual RICE Prioritization Engine: Pure Python calculation flow and backlog ranking.</w:t>
      </w:r>
    </w:p>
    <w:p>
      <w:pPr>
        <w:spacing w:before="40" w:after="50" w:line="276" w:lineRule="auto"/>
      </w:pPr>
      <w:r>
        <w:rPr>
          <w:rFonts w:ascii="Times New Roman" w:hAnsi="Times New Roman"/>
          <w:b/>
          <w:color w:val="0F172A"/>
          <w:sz w:val="22"/>
        </w:rPr>
        <w:t xml:space="preserve">Figure 4  </w:t>
      </w:r>
      <w:r>
        <w:rPr>
          <w:rFonts w:ascii="Times New Roman" w:hAnsi="Times New Roman"/>
          <w:color w:val="334155"/>
          <w:sz w:val="22"/>
        </w:rPr>
        <w:t>Web Application Dashboard: Interactive blueprint synthesis and real-time telemetry.</w:t>
      </w:r>
    </w:p>
    <w:p>
      <w:pPr>
        <w:spacing w:before="40" w:after="50" w:line="276" w:lineRule="auto"/>
      </w:pPr>
      <w:r>
        <w:rPr>
          <w:rFonts w:ascii="Times New Roman" w:hAnsi="Times New Roman"/>
          <w:b/>
          <w:color w:val="0F172A"/>
          <w:sz w:val="22"/>
        </w:rPr>
        <w:t xml:space="preserve">Figure 5  </w:t>
      </w:r>
      <w:r>
        <w:rPr>
          <w:rFonts w:ascii="Times New Roman" w:hAnsi="Times New Roman"/>
          <w:color w:val="334155"/>
          <w:sz w:val="22"/>
        </w:rPr>
        <w:t>Module 1: Software Requirements Specification (SRS) with MoSCoW and RICE scores.</w:t>
      </w:r>
    </w:p>
    <w:p>
      <w:pPr>
        <w:spacing w:before="40" w:after="50" w:line="276" w:lineRule="auto"/>
      </w:pPr>
      <w:r>
        <w:rPr>
          <w:rFonts w:ascii="Times New Roman" w:hAnsi="Times New Roman"/>
          <w:b/>
          <w:color w:val="0F172A"/>
          <w:sz w:val="22"/>
        </w:rPr>
        <w:t xml:space="preserve">Figure 6  </w:t>
      </w:r>
      <w:r>
        <w:rPr>
          <w:rFonts w:ascii="Times New Roman" w:hAnsi="Times New Roman"/>
          <w:color w:val="334155"/>
          <w:sz w:val="22"/>
        </w:rPr>
        <w:t>Module 2: Engineering Project Plan, Work Breakdown Structure (WBS), and DAG tasks.</w:t>
      </w:r>
    </w:p>
    <w:p>
      <w:pPr>
        <w:spacing w:before="40" w:after="50" w:line="276" w:lineRule="auto"/>
      </w:pPr>
      <w:r>
        <w:rPr>
          <w:rFonts w:ascii="Times New Roman" w:hAnsi="Times New Roman"/>
          <w:b/>
          <w:color w:val="0F172A"/>
          <w:sz w:val="22"/>
        </w:rPr>
        <w:t xml:space="preserve">Figure 7  </w:t>
      </w:r>
      <w:r>
        <w:rPr>
          <w:rFonts w:ascii="Times New Roman" w:hAnsi="Times New Roman"/>
          <w:color w:val="334155"/>
          <w:sz w:val="22"/>
        </w:rPr>
        <w:t>Module 3: Technical Architecture Blueprint, C4 container model, and database schemas.</w:t>
      </w:r>
    </w:p>
    <w:p>
      <w:pPr>
        <w:spacing w:before="40" w:after="50" w:line="276" w:lineRule="auto"/>
      </w:pPr>
      <w:r>
        <w:rPr>
          <w:rFonts w:ascii="Times New Roman" w:hAnsi="Times New Roman"/>
          <w:b/>
          <w:color w:val="0F172A"/>
          <w:sz w:val="22"/>
        </w:rPr>
        <w:t xml:space="preserve">Figure 8  </w:t>
      </w:r>
      <w:r>
        <w:rPr>
          <w:rFonts w:ascii="Times New Roman" w:hAnsi="Times New Roman"/>
          <w:color w:val="334155"/>
          <w:sz w:val="22"/>
        </w:rPr>
        <w:t>Module 3: Architecture Decision Records (ADRs) with competitive justifications.</w:t>
      </w:r>
    </w:p>
    <w:p>
      <w:pPr>
        <w:spacing w:before="40" w:after="50" w:line="276" w:lineRule="auto"/>
      </w:pPr>
      <w:r>
        <w:rPr>
          <w:rFonts w:ascii="Times New Roman" w:hAnsi="Times New Roman"/>
          <w:b/>
          <w:color w:val="0F172A"/>
          <w:sz w:val="22"/>
        </w:rPr>
        <w:t xml:space="preserve">Figure 9  </w:t>
      </w:r>
      <w:r>
        <w:rPr>
          <w:rFonts w:ascii="Times New Roman" w:hAnsi="Times New Roman"/>
          <w:color w:val="334155"/>
          <w:sz w:val="22"/>
        </w:rPr>
        <w:t>End-to-End Requirement-to-Architecture Traceability Matrix (RTM).</w:t>
      </w:r>
    </w:p>
    <w:p>
      <w:pPr>
        <w:spacing w:before="40" w:after="50" w:line="276" w:lineRule="auto"/>
      </w:pPr>
      <w:r>
        <w:rPr>
          <w:rFonts w:ascii="Times New Roman" w:hAnsi="Times New Roman"/>
          <w:b/>
          <w:color w:val="0F172A"/>
          <w:sz w:val="22"/>
        </w:rPr>
        <w:t xml:space="preserve">Figure 10  </w:t>
      </w:r>
      <w:r>
        <w:rPr>
          <w:rFonts w:ascii="Times New Roman" w:hAnsi="Times New Roman"/>
          <w:color w:val="334155"/>
          <w:sz w:val="22"/>
        </w:rPr>
        <w:t>Automated test suite distribution across platform modules (51 tests passing).</w:t>
      </w:r>
    </w:p>
    <w:p>
      <w:pPr>
        <w:spacing w:before="40" w:after="50" w:line="276" w:lineRule="auto"/>
      </w:pPr>
      <w:r>
        <w:rPr>
          <w:rFonts w:ascii="Times New Roman" w:hAnsi="Times New Roman"/>
          <w:b/>
          <w:color w:val="0F172A"/>
          <w:sz w:val="22"/>
        </w:rPr>
        <w:t xml:space="preserve">Figure 11  </w:t>
      </w:r>
      <w:r>
        <w:rPr>
          <w:rFonts w:ascii="Times New Roman" w:hAnsi="Times New Roman"/>
          <w:color w:val="334155"/>
          <w:sz w:val="22"/>
        </w:rPr>
        <w:t>Method A Benchmark Evaluation: Confusion matrix and classification accuracy across 10 domains.</w:t>
      </w:r>
    </w:p>
    <w:p>
      <w:pPr>
        <w:spacing w:before="40" w:after="50" w:line="276" w:lineRule="auto"/>
      </w:pPr>
      <w:r>
        <w:rPr>
          <w:rFonts w:ascii="Times New Roman" w:hAnsi="Times New Roman"/>
          <w:b/>
          <w:color w:val="0F172A"/>
          <w:sz w:val="22"/>
        </w:rPr>
        <w:t xml:space="preserve">Figure 12  </w:t>
      </w:r>
      <w:r>
        <w:rPr>
          <w:rFonts w:ascii="Times New Roman" w:hAnsi="Times New Roman"/>
          <w:color w:val="334155"/>
          <w:sz w:val="22"/>
        </w:rPr>
        <w:t>Targeted Selective Regeneration: Transitive blast radius analysis and token savings (~78%).</w:t>
      </w:r>
    </w:p>
    <w:p>
      <w:r>
        <w:br w:type="page"/>
      </w:r>
    </w:p>
    <w:p>
      <w:pPr>
        <w:spacing w:before="240" w:after="160"/>
      </w:pPr>
      <w:r>
        <w:rPr>
          <w:rFonts w:ascii="Times New Roman" w:hAnsi="Times New Roman"/>
          <w:b/>
          <w:color w:val="0F172A"/>
          <w:sz w:val="32"/>
        </w:rPr>
        <w:t>List of Tables</w:t>
      </w:r>
    </w:p>
    <w:p>
      <w:pPr>
        <w:spacing w:before="40" w:after="50" w:line="276" w:lineRule="auto"/>
      </w:pPr>
      <w:r>
        <w:rPr>
          <w:rFonts w:ascii="Times New Roman" w:hAnsi="Times New Roman"/>
          <w:b/>
          <w:color w:val="0F172A"/>
          <w:sz w:val="22"/>
        </w:rPr>
        <w:t xml:space="preserve">Table 1  </w:t>
      </w:r>
      <w:r>
        <w:rPr>
          <w:rFonts w:ascii="Times New Roman" w:hAnsi="Times New Roman"/>
          <w:color w:val="334155"/>
          <w:sz w:val="22"/>
        </w:rPr>
        <w:t>The base papers, their strengths and their limitations.</w:t>
      </w:r>
    </w:p>
    <w:p>
      <w:pPr>
        <w:spacing w:before="40" w:after="50" w:line="276" w:lineRule="auto"/>
      </w:pPr>
      <w:r>
        <w:rPr>
          <w:rFonts w:ascii="Times New Roman" w:hAnsi="Times New Roman"/>
          <w:b/>
          <w:color w:val="0F172A"/>
          <w:sz w:val="22"/>
        </w:rPr>
        <w:t xml:space="preserve">Table 2  </w:t>
      </w:r>
      <w:r>
        <w:rPr>
          <w:rFonts w:ascii="Times New Roman" w:hAnsi="Times New Roman"/>
          <w:color w:val="334155"/>
          <w:sz w:val="22"/>
        </w:rPr>
        <w:t>From each limitation in the literature to how Software Blueprint AI mitigates it.</w:t>
      </w:r>
    </w:p>
    <w:p>
      <w:pPr>
        <w:spacing w:before="40" w:after="50" w:line="276" w:lineRule="auto"/>
      </w:pPr>
      <w:r>
        <w:rPr>
          <w:rFonts w:ascii="Times New Roman" w:hAnsi="Times New Roman"/>
          <w:b/>
          <w:color w:val="0F172A"/>
          <w:sz w:val="22"/>
        </w:rPr>
        <w:t xml:space="preserve">Table 3  </w:t>
      </w:r>
      <w:r>
        <w:rPr>
          <w:rFonts w:ascii="Times New Roman" w:hAnsi="Times New Roman"/>
          <w:color w:val="334155"/>
          <w:sz w:val="22"/>
        </w:rPr>
        <w:t>Implementation status of the agents and modules across all feature branches.</w:t>
      </w:r>
    </w:p>
    <w:p>
      <w:pPr>
        <w:spacing w:before="40" w:after="50" w:line="276" w:lineRule="auto"/>
      </w:pPr>
      <w:r>
        <w:rPr>
          <w:rFonts w:ascii="Times New Roman" w:hAnsi="Times New Roman"/>
          <w:b/>
          <w:color w:val="0F172A"/>
          <w:sz w:val="22"/>
        </w:rPr>
        <w:t xml:space="preserve">Table 4  </w:t>
      </w:r>
      <w:r>
        <w:rPr>
          <w:rFonts w:ascii="Times New Roman" w:hAnsi="Times New Roman"/>
          <w:color w:val="334155"/>
          <w:sz w:val="22"/>
        </w:rPr>
        <w:t>Technology stack across architectural layers.</w:t>
      </w:r>
    </w:p>
    <w:p>
      <w:pPr>
        <w:spacing w:before="40" w:after="50" w:line="276" w:lineRule="auto"/>
      </w:pPr>
      <w:r>
        <w:rPr>
          <w:rFonts w:ascii="Times New Roman" w:hAnsi="Times New Roman"/>
          <w:b/>
          <w:color w:val="0F172A"/>
          <w:sz w:val="22"/>
        </w:rPr>
        <w:t xml:space="preserve">Table 5  </w:t>
      </w:r>
      <w:r>
        <w:rPr>
          <w:rFonts w:ascii="Times New Roman" w:hAnsi="Times New Roman"/>
          <w:color w:val="334155"/>
          <w:sz w:val="22"/>
        </w:rPr>
        <w:t>Algorithm and rules enforced, per module.</w:t>
      </w:r>
    </w:p>
    <w:p>
      <w:pPr>
        <w:spacing w:before="40" w:after="50" w:line="276" w:lineRule="auto"/>
      </w:pPr>
      <w:r>
        <w:rPr>
          <w:rFonts w:ascii="Times New Roman" w:hAnsi="Times New Roman"/>
          <w:b/>
          <w:color w:val="0F172A"/>
          <w:sz w:val="22"/>
        </w:rPr>
        <w:t xml:space="preserve">Table 6  </w:t>
      </w:r>
      <w:r>
        <w:rPr>
          <w:rFonts w:ascii="Times New Roman" w:hAnsi="Times New Roman"/>
          <w:color w:val="334155"/>
          <w:sz w:val="22"/>
        </w:rPr>
        <w:t>Manual RICE scoring parameters, role scope weights, and guardrail constants.</w:t>
      </w:r>
    </w:p>
    <w:p>
      <w:pPr>
        <w:spacing w:before="40" w:after="50" w:line="276" w:lineRule="auto"/>
      </w:pPr>
      <w:r>
        <w:rPr>
          <w:rFonts w:ascii="Times New Roman" w:hAnsi="Times New Roman"/>
          <w:b/>
          <w:color w:val="0F172A"/>
          <w:sz w:val="22"/>
        </w:rPr>
        <w:t xml:space="preserve">Table 7  </w:t>
      </w:r>
      <w:r>
        <w:rPr>
          <w:rFonts w:ascii="Times New Roman" w:hAnsi="Times New Roman"/>
          <w:color w:val="334155"/>
          <w:sz w:val="22"/>
        </w:rPr>
        <w:t>Two-phase validation rules and deterministic graph constraints.</w:t>
      </w:r>
    </w:p>
    <w:p>
      <w:pPr>
        <w:spacing w:before="40" w:after="50" w:line="276" w:lineRule="auto"/>
      </w:pPr>
      <w:r>
        <w:rPr>
          <w:rFonts w:ascii="Times New Roman" w:hAnsi="Times New Roman"/>
          <w:b/>
          <w:color w:val="0F172A"/>
          <w:sz w:val="22"/>
        </w:rPr>
        <w:t xml:space="preserve">Table 8  </w:t>
      </w:r>
      <w:r>
        <w:rPr>
          <w:rFonts w:ascii="Times New Roman" w:hAnsi="Times New Roman"/>
          <w:color w:val="334155"/>
          <w:sz w:val="22"/>
        </w:rPr>
        <w:t>Method A ground-truth benchmark test cases across diverse software domains.</w:t>
      </w:r>
    </w:p>
    <w:p>
      <w:pPr>
        <w:spacing w:before="40" w:after="50" w:line="276" w:lineRule="auto"/>
      </w:pPr>
      <w:r>
        <w:rPr>
          <w:rFonts w:ascii="Times New Roman" w:hAnsi="Times New Roman"/>
          <w:b/>
          <w:color w:val="0F172A"/>
          <w:sz w:val="22"/>
        </w:rPr>
        <w:t xml:space="preserve">Table 9  </w:t>
      </w:r>
      <w:r>
        <w:rPr>
          <w:rFonts w:ascii="Times New Roman" w:hAnsi="Times New Roman"/>
          <w:color w:val="334155"/>
          <w:sz w:val="22"/>
        </w:rPr>
        <w:t>Transitive blast radius traversal rules and selective regeneration criteria.</w:t>
      </w:r>
    </w:p>
    <w:p>
      <w:pPr>
        <w:spacing w:before="40" w:after="50" w:line="276" w:lineRule="auto"/>
      </w:pPr>
      <w:r>
        <w:rPr>
          <w:rFonts w:ascii="Times New Roman" w:hAnsi="Times New Roman"/>
          <w:b/>
          <w:color w:val="0F172A"/>
          <w:sz w:val="22"/>
        </w:rPr>
        <w:t xml:space="preserve">Table 10  </w:t>
      </w:r>
      <w:r>
        <w:rPr>
          <w:rFonts w:ascii="Times New Roman" w:hAnsi="Times New Roman"/>
          <w:color w:val="334155"/>
          <w:sz w:val="22"/>
        </w:rPr>
        <w:t>Latency targets and execution budgets across agent generation stages.</w:t>
      </w:r>
    </w:p>
    <w:p>
      <w:pPr>
        <w:spacing w:before="40" w:after="50" w:line="276" w:lineRule="auto"/>
      </w:pPr>
      <w:r>
        <w:rPr>
          <w:rFonts w:ascii="Times New Roman" w:hAnsi="Times New Roman"/>
          <w:b/>
          <w:color w:val="0F172A"/>
          <w:sz w:val="22"/>
        </w:rPr>
        <w:t xml:space="preserve">Table 11  </w:t>
      </w:r>
      <w:r>
        <w:rPr>
          <w:rFonts w:ascii="Times New Roman" w:hAnsi="Times New Roman"/>
          <w:color w:val="334155"/>
          <w:sz w:val="22"/>
        </w:rPr>
        <w:t>How benchmark and evaluation datasets are constructed and partitioned.</w:t>
      </w:r>
    </w:p>
    <w:p>
      <w:pPr>
        <w:spacing w:before="40" w:after="50" w:line="276" w:lineRule="auto"/>
      </w:pPr>
      <w:r>
        <w:rPr>
          <w:rFonts w:ascii="Times New Roman" w:hAnsi="Times New Roman"/>
          <w:b/>
          <w:color w:val="0F172A"/>
          <w:sz w:val="22"/>
        </w:rPr>
        <w:t xml:space="preserve">Table 12  </w:t>
      </w:r>
      <w:r>
        <w:rPr>
          <w:rFonts w:ascii="Times New Roman" w:hAnsi="Times New Roman"/>
          <w:color w:val="334155"/>
          <w:sz w:val="22"/>
        </w:rPr>
        <w:t>Quality score dimensions, mathematical formulations, and weightings.</w:t>
      </w:r>
    </w:p>
    <w:p>
      <w:pPr>
        <w:spacing w:before="40" w:after="50" w:line="276" w:lineRule="auto"/>
      </w:pPr>
      <w:r>
        <w:rPr>
          <w:rFonts w:ascii="Times New Roman" w:hAnsi="Times New Roman"/>
          <w:b/>
          <w:color w:val="0F172A"/>
          <w:sz w:val="22"/>
        </w:rPr>
        <w:t xml:space="preserve">Table 13  </w:t>
      </w:r>
      <w:r>
        <w:rPr>
          <w:rFonts w:ascii="Times New Roman" w:hAnsi="Times New Roman"/>
          <w:color w:val="334155"/>
          <w:sz w:val="22"/>
        </w:rPr>
        <w:t>Evaluation metrics and their formal formulas.</w:t>
      </w:r>
    </w:p>
    <w:p>
      <w:pPr>
        <w:spacing w:before="40" w:after="50" w:line="276" w:lineRule="auto"/>
      </w:pPr>
      <w:r>
        <w:rPr>
          <w:rFonts w:ascii="Times New Roman" w:hAnsi="Times New Roman"/>
          <w:b/>
          <w:color w:val="0F172A"/>
          <w:sz w:val="22"/>
        </w:rPr>
        <w:t xml:space="preserve">Table 14  </w:t>
      </w:r>
      <w:r>
        <w:rPr>
          <w:rFonts w:ascii="Times New Roman" w:hAnsi="Times New Roman"/>
          <w:color w:val="334155"/>
          <w:sz w:val="22"/>
        </w:rPr>
        <w:t>Baseline policies and tool comparison matrix.</w:t>
      </w:r>
    </w:p>
    <w:p>
      <w:pPr>
        <w:spacing w:before="40" w:after="50" w:line="276" w:lineRule="auto"/>
      </w:pPr>
      <w:r>
        <w:rPr>
          <w:rFonts w:ascii="Times New Roman" w:hAnsi="Times New Roman"/>
          <w:b/>
          <w:color w:val="0F172A"/>
          <w:sz w:val="22"/>
        </w:rPr>
        <w:t xml:space="preserve">Table 15  </w:t>
      </w:r>
      <w:r>
        <w:rPr>
          <w:rFonts w:ascii="Times New Roman" w:hAnsi="Times New Roman"/>
          <w:color w:val="334155"/>
          <w:sz w:val="22"/>
        </w:rPr>
        <w:t>Automated test suites and coverage breakdown (51 tests passing).</w:t>
      </w:r>
    </w:p>
    <w:p>
      <w:pPr>
        <w:spacing w:before="40" w:after="50" w:line="276" w:lineRule="auto"/>
      </w:pPr>
      <w:r>
        <w:rPr>
          <w:rFonts w:ascii="Times New Roman" w:hAnsi="Times New Roman"/>
          <w:b/>
          <w:color w:val="0F172A"/>
          <w:sz w:val="22"/>
        </w:rPr>
        <w:t xml:space="preserve">Table 16  </w:t>
      </w:r>
      <w:r>
        <w:rPr>
          <w:rFonts w:ascii="Times New Roman" w:hAnsi="Times New Roman"/>
          <w:color w:val="334155"/>
          <w:sz w:val="22"/>
        </w:rPr>
        <w:t>Software Blueprint AI compared with existing products and research systems.</w:t>
      </w:r>
    </w:p>
    <w:p>
      <w:r>
        <w:br w:type="page"/>
      </w:r>
    </w:p>
    <w:p>
      <w:pPr>
        <w:keepNext/>
        <w:spacing w:before="320" w:after="120"/>
      </w:pPr>
      <w:r>
        <w:rPr>
          <w:rFonts w:ascii="Times New Roman" w:hAnsi="Times New Roman"/>
          <w:b/>
          <w:color w:val="0F172A"/>
          <w:sz w:val="28"/>
        </w:rPr>
        <w:t>1. Introduction</w:t>
      </w:r>
    </w:p>
    <w:p>
      <w:pPr>
        <w:keepNext/>
        <w:spacing w:before="240" w:after="80"/>
      </w:pPr>
      <w:r>
        <w:rPr>
          <w:rFonts w:ascii="Times New Roman" w:hAnsi="Times New Roman"/>
          <w:b/>
          <w:color w:val="0F172A"/>
          <w:sz w:val="24"/>
        </w:rPr>
        <w:t>1.1 The current situation of software development in industry</w:t>
      </w:r>
    </w:p>
    <w:p>
      <w:pPr>
        <w:spacing w:before="0" w:after="120" w:line="276" w:lineRule="auto"/>
        <w:jc w:val="left"/>
      </w:pPr>
      <w:r>
        <w:rPr>
          <w:rFonts w:ascii="Times New Roman" w:hAnsi="Times New Roman"/>
          <w:color w:val="1E293B"/>
          <w:sz w:val="24"/>
        </w:rPr>
        <w:t>Software engineering is one of the most intellectually demanding industries in the world, yet its foundational phases are still managed using outdated, disconnected methods. When an enterprise or startup wants to build a new software platform, the initial process begins with stakeholder interviews and requirement elicitation. Business analysts write natural-language documents called Product Requirement Documents (PRDs). Project managers then read these documents and manually create sprint tickets and Gantt charts. Finally, systems architects read the same documents and draft high-level architecture designs. This multi-step process takes several weeks or months of meetings, discussions, and manual reviews.</w:t>
      </w:r>
    </w:p>
    <w:p>
      <w:pPr>
        <w:spacing w:before="0" w:after="120" w:line="276" w:lineRule="auto"/>
        <w:jc w:val="left"/>
      </w:pPr>
      <w:r>
        <w:rPr>
          <w:rFonts w:ascii="Times New Roman" w:hAnsi="Times New Roman"/>
          <w:color w:val="1E293B"/>
          <w:sz w:val="24"/>
        </w:rPr>
        <w:t>The Standish Group CHAOS studies and IEEE software engineering surveys consistently report that over 65 percent of software projects fail, run drastically over budget, or deliver software that does not meet stakeholder expectations. The primary source of these failures is not programming syntax errors; rather, it is the fundamental gap that exists between high-level requirements and downstream technical implementation. When requirements are written in ambiguous human language, critical assumptions remain unstated. When developers start writing code based on vague specifications, architectural drift occurs, resulting in expensive rewrites, security vulnerabilities, and software that fails in production.</w:t>
      </w:r>
    </w:p>
    <w:p>
      <w:pPr>
        <w:keepNext/>
        <w:spacing w:before="240" w:after="80"/>
      </w:pPr>
      <w:r>
        <w:rPr>
          <w:rFonts w:ascii="Times New Roman" w:hAnsi="Times New Roman"/>
          <w:b/>
          <w:color w:val="0F172A"/>
          <w:sz w:val="24"/>
        </w:rPr>
        <w:t>1.2 How is requirement-to-architecture workflow handled today?</w:t>
      </w:r>
    </w:p>
    <w:p>
      <w:pPr>
        <w:spacing w:before="0" w:after="120" w:line="276" w:lineRule="auto"/>
        <w:jc w:val="left"/>
      </w:pPr>
      <w:r>
        <w:rPr>
          <w:rFonts w:ascii="Times New Roman" w:hAnsi="Times New Roman"/>
          <w:color w:val="1E293B"/>
          <w:sz w:val="24"/>
        </w:rPr>
        <w:t>In current industry practice, requirement analysis, project planning, and architecture design are handled in silos by completely separate teams using disconnected tools. Requirements live in text editors like Google Docs, Microsoft Word, or Confluence. Project tasks live in issue trackers like Jira, Linear, or Trello. System architectures live in diagramming tools like Lucidchart, Draw.io, or Miro. None of these tools communicate with each other programmatically.</w:t>
      </w:r>
    </w:p>
    <w:p>
      <w:pPr>
        <w:spacing w:before="0" w:after="120" w:line="276" w:lineRule="auto"/>
        <w:jc w:val="left"/>
      </w:pPr>
      <w:r>
        <w:rPr>
          <w:rFonts w:ascii="Times New Roman" w:hAnsi="Times New Roman"/>
          <w:color w:val="1E293B"/>
          <w:sz w:val="24"/>
        </w:rPr>
        <w:t>When an engineer asks a simple question such as 'Why does this database table have this column?' or 'Which business requirement requires this microservice API?', tracing the answer requires searching through meeting notes and outdated tickets. Worse still, when a client changes a single requirement during development, teams have no automated way of knowing which tasks must be updated, which database schemas must change, or which API endpoints are broken. The software engineering lifecycle suffers from a total lack of end-to-end traceability.</w:t>
      </w:r>
    </w:p>
    <w:p>
      <w:pPr>
        <w:keepNext/>
        <w:spacing w:before="240" w:after="80"/>
      </w:pPr>
      <w:r>
        <w:rPr>
          <w:rFonts w:ascii="Times New Roman" w:hAnsi="Times New Roman"/>
          <w:b/>
          <w:color w:val="0F172A"/>
          <w:sz w:val="24"/>
        </w:rPr>
        <w:t>1.3 Problem statement</w:t>
      </w:r>
    </w:p>
    <w:p>
      <w:pPr>
        <w:spacing w:before="0" w:after="120" w:line="276" w:lineRule="auto"/>
        <w:jc w:val="left"/>
      </w:pPr>
      <w:r>
        <w:rPr>
          <w:rFonts w:ascii="Times New Roman" w:hAnsi="Times New Roman"/>
          <w:color w:val="1E293B"/>
          <w:sz w:val="24"/>
        </w:rPr>
        <w:t>The problem facing automated software engineering can be divided into three core challenges:</w:t>
      </w:r>
    </w:p>
    <w:p>
      <w:pPr>
        <w:spacing w:before="0" w:after="120" w:line="276" w:lineRule="auto"/>
        <w:jc w:val="left"/>
      </w:pPr>
      <w:r>
        <w:rPr>
          <w:rFonts w:ascii="Times New Roman" w:hAnsi="Times New Roman"/>
          <w:color w:val="1E293B"/>
          <w:sz w:val="24"/>
        </w:rPr>
        <w:t>First, can a natural-language software idea or raw PRD be converted into an unambiguous, structured Software Requirements Specification (SRS) with formal qualitative prioritization (MoSCoW) and objective quantitative scoring (RICE), without relying on subjective human guessing or LLM arithmetic hallucinations? When requirements contain hidden ambiguities or missing stakeholder bindings, the system must detect them automatically.</w:t>
      </w:r>
    </w:p>
    <w:p>
      <w:pPr>
        <w:spacing w:before="0" w:after="120" w:line="276" w:lineRule="auto"/>
        <w:jc w:val="left"/>
      </w:pPr>
      <w:r>
        <w:rPr>
          <w:rFonts w:ascii="Times New Roman" w:hAnsi="Times New Roman"/>
          <w:color w:val="1E293B"/>
          <w:sz w:val="24"/>
        </w:rPr>
        <w:t>Second, can specialized AI agents collaborate across the entire software development lifecycle to transform requirements into an actionable Work Breakdown Structure (WBS) and a verifiable C4 architecture model, while guaranteeing mathematically that every requirement links directly to a task, component, API endpoint, and database table without circular dependency deadlocks?</w:t>
      </w:r>
    </w:p>
    <w:p>
      <w:pPr>
        <w:spacing w:before="0" w:after="120" w:line="276" w:lineRule="auto"/>
        <w:jc w:val="left"/>
      </w:pPr>
      <w:r>
        <w:rPr>
          <w:rFonts w:ascii="Times New Roman" w:hAnsi="Times New Roman"/>
          <w:color w:val="1E293B"/>
          <w:sz w:val="24"/>
        </w:rPr>
        <w:t>Third, when a requirement changes mid-project, can the system calculate the exact transitive blast radius across downstream components and execute targeted selective regeneration, updating only the affected artifacts while preserving untouched subsystems verbatim, all while running 100 percent offline to protect enterprise intellectual property?</w:t>
      </w:r>
    </w:p>
    <w:p>
      <w:pPr>
        <w:keepNext/>
        <w:spacing w:before="240" w:after="80"/>
      </w:pPr>
      <w:r>
        <w:rPr>
          <w:rFonts w:ascii="Times New Roman" w:hAnsi="Times New Roman"/>
          <w:b/>
          <w:color w:val="0F172A"/>
          <w:sz w:val="24"/>
        </w:rPr>
        <w:t>1.4 Objectives</w:t>
      </w:r>
    </w:p>
    <w:p>
      <w:pPr>
        <w:pStyle w:val="ListBullet"/>
        <w:spacing w:before="0" w:after="70" w:line="276" w:lineRule="auto"/>
        <w:jc w:val="left"/>
      </w:pPr>
      <w:r>
        <w:rPr>
          <w:rFonts w:ascii="Times New Roman" w:hAnsi="Times New Roman"/>
          <w:b/>
          <w:color w:val="0F172A"/>
          <w:sz w:val="24"/>
        </w:rPr>
        <w:t xml:space="preserve">Automated Requirement Engineering: </w:t>
      </w:r>
      <w:r>
        <w:rPr>
          <w:rFonts w:ascii="Times New Roman" w:hAnsi="Times New Roman"/>
          <w:color w:val="1E293B"/>
          <w:sz w:val="24"/>
        </w:rPr>
        <w:t>Convert natural-language project ideas into structured IEEE 830 compliant SRS specifications containing stakeholders, functional requirements, non-functional quality attributes, constraints, and detected ambiguities.</w:t>
      </w:r>
    </w:p>
    <w:p>
      <w:pPr>
        <w:pStyle w:val="ListBullet"/>
        <w:spacing w:before="0" w:after="70" w:line="276" w:lineRule="auto"/>
        <w:jc w:val="left"/>
      </w:pPr>
      <w:r>
        <w:rPr>
          <w:rFonts w:ascii="Times New Roman" w:hAnsi="Times New Roman"/>
          <w:b/>
          <w:color w:val="0F172A"/>
          <w:sz w:val="24"/>
        </w:rPr>
        <w:t xml:space="preserve">Deterministic Quantitative Prioritization: </w:t>
      </w:r>
      <w:r>
        <w:rPr>
          <w:rFonts w:ascii="Times New Roman" w:hAnsi="Times New Roman"/>
          <w:color w:val="1E293B"/>
          <w:sz w:val="24"/>
        </w:rPr>
        <w:t>Implement a pure Python manual calculation engine for the RICE framework (Reach, Impact, Confidence, Effort) to eliminate LLM arithmetic hallucinations and establish an objective backlog ranking (#1, #2, #3, ...).</w:t>
      </w:r>
    </w:p>
    <w:p>
      <w:pPr>
        <w:pStyle w:val="ListBullet"/>
        <w:spacing w:before="0" w:after="70" w:line="276" w:lineRule="auto"/>
        <w:jc w:val="left"/>
      </w:pPr>
      <w:r>
        <w:rPr>
          <w:rFonts w:ascii="Times New Roman" w:hAnsi="Times New Roman"/>
          <w:b/>
          <w:color w:val="0F172A"/>
          <w:sz w:val="24"/>
        </w:rPr>
        <w:t xml:space="preserve">WBS Planning &amp; Effort Calibration: </w:t>
      </w:r>
      <w:r>
        <w:rPr>
          <w:rFonts w:ascii="Times New Roman" w:hAnsi="Times New Roman"/>
          <w:color w:val="1E293B"/>
          <w:sz w:val="24"/>
        </w:rPr>
        <w:t>Generate modular project plans with estimated task hours, milestone gates, and Directed Acyclic Graph (DAG) dependencies, dynamically calibrating requirement effort using actual WBS task hours.</w:t>
      </w:r>
    </w:p>
    <w:p>
      <w:pPr>
        <w:pStyle w:val="ListBullet"/>
        <w:spacing w:before="0" w:after="70" w:line="276" w:lineRule="auto"/>
        <w:jc w:val="left"/>
      </w:pPr>
      <w:r>
        <w:rPr>
          <w:rFonts w:ascii="Times New Roman" w:hAnsi="Times New Roman"/>
          <w:b/>
          <w:color w:val="0F172A"/>
          <w:sz w:val="24"/>
        </w:rPr>
        <w:t xml:space="preserve">Evidence-Grounded Architecture Design: </w:t>
      </w:r>
      <w:r>
        <w:rPr>
          <w:rFonts w:ascii="Times New Roman" w:hAnsi="Times New Roman"/>
          <w:color w:val="1E293B"/>
          <w:sz w:val="24"/>
        </w:rPr>
        <w:t>Synthesize C4 container/component models, REST API specifications, database schemas, and Architecture Decision Records (ADRs) with competitive justifications backed by academic literature citations from a local Qdrant vector database.</w:t>
      </w:r>
    </w:p>
    <w:p>
      <w:pPr>
        <w:pStyle w:val="ListBullet"/>
        <w:spacing w:before="0" w:after="70" w:line="276" w:lineRule="auto"/>
        <w:jc w:val="left"/>
      </w:pPr>
      <w:r>
        <w:rPr>
          <w:rFonts w:ascii="Times New Roman" w:hAnsi="Times New Roman"/>
          <w:b/>
          <w:color w:val="0F172A"/>
          <w:sz w:val="24"/>
        </w:rPr>
        <w:t xml:space="preserve">Two-Phase Deterministic Validation: </w:t>
      </w:r>
      <w:r>
        <w:rPr>
          <w:rFonts w:ascii="Times New Roman" w:hAnsi="Times New Roman"/>
          <w:color w:val="1E293B"/>
          <w:sz w:val="24"/>
        </w:rPr>
        <w:t>Conduct rigorous validation combining pure Python graph algorithms (NetworkX cycle detection and coverage verification) with semantic LLM evaluation across 6 quality dimensions.</w:t>
      </w:r>
    </w:p>
    <w:p>
      <w:pPr>
        <w:pStyle w:val="ListBullet"/>
        <w:spacing w:before="0" w:after="70" w:line="276" w:lineRule="auto"/>
        <w:jc w:val="left"/>
      </w:pPr>
      <w:r>
        <w:rPr>
          <w:rFonts w:ascii="Times New Roman" w:hAnsi="Times New Roman"/>
          <w:b/>
          <w:color w:val="0F172A"/>
          <w:sz w:val="24"/>
        </w:rPr>
        <w:t xml:space="preserve">Transitive Blast Radius &amp; Selective Regeneration: </w:t>
      </w:r>
      <w:r>
        <w:rPr>
          <w:rFonts w:ascii="Times New Roman" w:hAnsi="Times New Roman"/>
          <w:color w:val="1E293B"/>
          <w:sz w:val="24"/>
        </w:rPr>
        <w:t>Enable architects to modify requirements and automatically isolate downstream impacts via Breadth-First Search, regenerating only affected artifacts and saving ~78% of token compute.</w:t>
      </w:r>
    </w:p>
    <w:p>
      <w:pPr>
        <w:pStyle w:val="ListBullet"/>
        <w:spacing w:before="0" w:after="70" w:line="276" w:lineRule="auto"/>
        <w:jc w:val="left"/>
      </w:pPr>
      <w:r>
        <w:rPr>
          <w:rFonts w:ascii="Times New Roman" w:hAnsi="Times New Roman"/>
          <w:b/>
          <w:color w:val="0F172A"/>
          <w:sz w:val="24"/>
        </w:rPr>
        <w:t xml:space="preserve">100% Offline Sovereign Privacy: </w:t>
      </w:r>
      <w:r>
        <w:rPr>
          <w:rFonts w:ascii="Times New Roman" w:hAnsi="Times New Roman"/>
          <w:color w:val="1E293B"/>
          <w:sz w:val="24"/>
        </w:rPr>
        <w:t>Ensure complete data sovereignty by running entirely on local Ollama models (Qwen 2.5:3b), local Qdrant vector storage, and local Redis caching with zero external network calls or recurring API costs.</w:t>
      </w:r>
    </w:p>
    <w:p>
      <w:pPr>
        <w:keepNext/>
        <w:spacing w:before="240" w:after="80"/>
      </w:pPr>
      <w:r>
        <w:rPr>
          <w:rFonts w:ascii="Times New Roman" w:hAnsi="Times New Roman"/>
          <w:b/>
          <w:color w:val="0F172A"/>
          <w:sz w:val="24"/>
        </w:rPr>
        <w:t>1.5 Scope and organisation of the report</w:t>
      </w:r>
    </w:p>
    <w:p>
      <w:pPr>
        <w:spacing w:before="0" w:after="120" w:line="276" w:lineRule="auto"/>
        <w:jc w:val="left"/>
      </w:pPr>
      <w:r>
        <w:rPr>
          <w:rFonts w:ascii="Times New Roman" w:hAnsi="Times New Roman"/>
          <w:color w:val="1E293B"/>
          <w:sz w:val="24"/>
        </w:rPr>
        <w:t>This project delivers a complete, production-grade web application featuring an interactive React 18 / Vite dashboard, an asynchronous FastAPI backend, a compiled LangGraph state machine, local vector and graph databases, and comprehensive test suites. This report documents the full lifecycle of Software Blueprint AI across subsequent chapters: Chapter 2 reviews foundational research papers and highlights the core research gap; Chapter 3 introduces the proposed multi-agent architecture and design principles; Chapter 4 details system architecture, offline infrastructure, implementation status, and tech stack justifications; Chapter 5 provides an exhaustive breakdown of functional agents, manual RICE mathematics, user interface screens, and empirical benchmark evaluations; Chapter 6 presents platform novelties; and Chapter 7 concludes with future directions.</w:t>
      </w:r>
    </w:p>
    <w:p>
      <w:r>
        <w:br w:type="page"/>
      </w:r>
    </w:p>
    <w:p>
      <w:pPr>
        <w:keepNext/>
        <w:spacing w:before="320" w:after="120"/>
      </w:pPr>
      <w:r>
        <w:rPr>
          <w:rFonts w:ascii="Times New Roman" w:hAnsi="Times New Roman"/>
          <w:b/>
          <w:color w:val="0F172A"/>
          <w:sz w:val="28"/>
        </w:rPr>
        <w:t>2. Literature Survey</w:t>
      </w:r>
    </w:p>
    <w:p>
      <w:pPr>
        <w:spacing w:before="0" w:after="120" w:line="276" w:lineRule="auto"/>
        <w:jc w:val="left"/>
      </w:pPr>
      <w:r>
        <w:rPr>
          <w:rFonts w:ascii="Times New Roman" w:hAnsi="Times New Roman"/>
          <w:color w:val="1E293B"/>
          <w:sz w:val="24"/>
        </w:rPr>
        <w:t>In recent years, the application of Artificial Intelligence and Large Language Models to software engineering has transitioned from simple code completion tools (such as GitHub Copilot) to autonomous multi-agent software development frameworks. While these systems show great promise, they suffer from significant architectural limitations when applied to early-stage requirements engineering and system architecture design. We reviewed foundational base papers to understand current state-of-the-art capabilities, identify where existing frameworks struggle, and design our multi-agent system to solve those specific gaps.</w:t>
      </w:r>
    </w:p>
    <w:p>
      <w:pPr>
        <w:keepNext/>
        <w:spacing w:before="240" w:after="80"/>
      </w:pPr>
      <w:r>
        <w:rPr>
          <w:rFonts w:ascii="Times New Roman" w:hAnsi="Times New Roman"/>
          <w:b/>
          <w:color w:val="0F172A"/>
          <w:sz w:val="24"/>
        </w:rPr>
        <w:t>2.1 Survey on Multi-Agent Systems in Software Engineering (ChatDev, MetaGPT)</w:t>
      </w:r>
    </w:p>
    <w:p>
      <w:pPr>
        <w:spacing w:before="0" w:after="120" w:line="276" w:lineRule="auto"/>
        <w:jc w:val="left"/>
      </w:pPr>
      <w:r>
        <w:rPr>
          <w:rFonts w:ascii="Times New Roman" w:hAnsi="Times New Roman"/>
          <w:color w:val="1E293B"/>
          <w:sz w:val="24"/>
        </w:rPr>
        <w:t>Pioneering multi-agent frameworks like ChatDev (Qian et al. [5]) and MetaGPT (Hong et al. [6]) demonstrated that assigning distinct personas (Product Manager, Architect, Project Manager, Engineer, QA) to LLMs significantly reduces hallucination compared to single-agent prompting. MetaGPT introduced Standard Operating Procedures (SOPs) based on software engineering waterfall models, having agents exchange structured documents. However, both ChatDev and MetaGPT focus primarily on code generation for small command-line utilities or simple games. They treat requirements as trivial one-line prompts and do not perform formal requirement elicitation, MoSCoW/RICE prioritization, or deterministic graph validation. Furthermore, when a requirement changes, these systems must regenerate the entire code repository from scratch.</w:t>
      </w:r>
    </w:p>
    <w:p>
      <w:pPr>
        <w:keepNext/>
        <w:spacing w:before="240" w:after="80"/>
      </w:pPr>
      <w:r>
        <w:rPr>
          <w:rFonts w:ascii="Times New Roman" w:hAnsi="Times New Roman"/>
          <w:b/>
          <w:color w:val="0F172A"/>
          <w:sz w:val="24"/>
        </w:rPr>
        <w:t>2.2 ReqInOne: A Large Language Model-Based Agent for SRS Generation</w:t>
      </w:r>
    </w:p>
    <w:p>
      <w:pPr>
        <w:spacing w:before="0" w:after="120" w:line="276" w:lineRule="auto"/>
        <w:jc w:val="left"/>
      </w:pPr>
      <w:r>
        <w:rPr>
          <w:rFonts w:ascii="Times New Roman" w:hAnsi="Times New Roman"/>
          <w:color w:val="1E293B"/>
          <w:sz w:val="24"/>
        </w:rPr>
        <w:t>ReqInOne (Zhu et al. [2], IEEE RE 2025) focused specifically on the requirements engineering phase. The authors created an LLM-based agent that transforms conversational user prompts into formal Software Requirements Specifications (SRS). They evaluated generated specifications using traditional software metrics including completeness, consistency, traceability, precision, recall, and F1-score. While ReqInOne produces high-quality text documents, it operates in complete isolation. The generated requirements are never passed downstream to a project planning or architecture stage, and there is no mechanism to verify whether the requirements can be translated into valid, non-cyclic engineering roadmaps.</w:t>
      </w:r>
    </w:p>
    <w:p>
      <w:pPr>
        <w:keepNext/>
        <w:spacing w:before="240" w:after="80"/>
      </w:pPr>
      <w:r>
        <w:rPr>
          <w:rFonts w:ascii="Times New Roman" w:hAnsi="Times New Roman"/>
          <w:b/>
          <w:color w:val="0F172A"/>
          <w:sz w:val="24"/>
        </w:rPr>
        <w:t>2.3 Bridging Requirements and Architecture: Multi-Agent Orchestration (MAAD)</w:t>
      </w:r>
    </w:p>
    <w:p>
      <w:pPr>
        <w:spacing w:before="0" w:after="120" w:line="276" w:lineRule="auto"/>
        <w:jc w:val="left"/>
      </w:pPr>
      <w:r>
        <w:rPr>
          <w:rFonts w:ascii="Times New Roman" w:hAnsi="Times New Roman"/>
          <w:color w:val="1E293B"/>
          <w:sz w:val="24"/>
        </w:rPr>
        <w:t>MAAD (Li et al. [1], arXiv 2026) addressed the semantic chasm between natural-language requirements and software architecture design. The authors employed multi-agent orchestration combined with external domain knowledge and hierarchical memory to map requirements directly to architecture diagrams. While MAAD represents a major step forward, its primary limitation is the complete omission of the project planning phase. In actual software engineering practice, architecture cannot be synthesized in a vacuum without an understanding of development modules, engineering task hours, and prerequisite dependency sequences. Furthermore, MAAD lacks an automated deterministic validation agent to verify graph acyclicity.</w:t>
      </w:r>
    </w:p>
    <w:p>
      <w:pPr>
        <w:keepNext/>
        <w:spacing w:before="240" w:after="80"/>
      </w:pPr>
      <w:r>
        <w:rPr>
          <w:rFonts w:ascii="Times New Roman" w:hAnsi="Times New Roman"/>
          <w:b/>
          <w:color w:val="0F172A"/>
          <w:sz w:val="24"/>
        </w:rPr>
        <w:t>2.4 AI-based Multiagent Approach for Requirements Elicitation and Analysis</w:t>
      </w:r>
    </w:p>
    <w:p>
      <w:pPr>
        <w:spacing w:before="0" w:after="120" w:line="276" w:lineRule="auto"/>
        <w:jc w:val="left"/>
      </w:pPr>
      <w:r>
        <w:rPr>
          <w:rFonts w:ascii="Times New Roman" w:hAnsi="Times New Roman"/>
          <w:color w:val="1E293B"/>
          <w:sz w:val="24"/>
        </w:rPr>
        <w:t>Sami et al. [3] (arXiv 2024) explored how multi-agent collaboration can support user story extraction, stakeholder identification, and requirement classification. Their findings confirmed that multi-agent debate and refinement yield higher requirement quality than single-prompt models. However, like ReqInOne, their framework stops at the requirements stage and provides no bi-directional traceability to downstream engineering tasks or architectural components.</w:t>
      </w:r>
    </w:p>
    <w:p>
      <w:pPr>
        <w:keepNext/>
        <w:spacing w:before="240" w:after="80"/>
      </w:pPr>
      <w:r>
        <w:rPr>
          <w:rFonts w:ascii="Times New Roman" w:hAnsi="Times New Roman"/>
          <w:b/>
          <w:color w:val="0F172A"/>
          <w:sz w:val="24"/>
        </w:rPr>
        <w:t>2.5 Requirement Quality Benchmarking and Traceability in Automated SE</w:t>
      </w:r>
    </w:p>
    <w:p>
      <w:pPr>
        <w:spacing w:before="0" w:after="120" w:line="276" w:lineRule="auto"/>
        <w:jc w:val="left"/>
      </w:pPr>
      <w:r>
        <w:rPr>
          <w:rFonts w:ascii="Times New Roman" w:hAnsi="Times New Roman"/>
          <w:color w:val="1E293B"/>
          <w:sz w:val="24"/>
        </w:rPr>
        <w:t>Recent research by Jin et al. [4] (MARE) highlighted that while generative LLMs can produce plausible text, they are notorious for hallucinating requirements that violate IEEE 830 standards, omitting critical quality attributes (NFRs), and producing untraceable specifications. Established software engineering literature emphasizes that automated specification generators must be evaluated against ground-truth benchmarks rather than relying solely on LLM self-evaluation.</w:t>
      </w:r>
    </w:p>
    <w:p>
      <w:pPr>
        <w:keepNext/>
        <w:spacing w:before="240" w:after="80"/>
      </w:pPr>
      <w:r>
        <w:rPr>
          <w:rFonts w:ascii="Times New Roman" w:hAnsi="Times New Roman"/>
          <w:b/>
          <w:color w:val="0F172A"/>
          <w:sz w:val="24"/>
        </w:rPr>
        <w:t>2.6 The research gap</w:t>
      </w:r>
    </w:p>
    <w:p>
      <w:pPr>
        <w:spacing w:before="0" w:after="120" w:line="276" w:lineRule="auto"/>
        <w:jc w:val="left"/>
      </w:pPr>
      <w:r>
        <w:rPr>
          <w:rFonts w:ascii="Times New Roman" w:hAnsi="Times New Roman"/>
          <w:color w:val="1E293B"/>
          <w:sz w:val="24"/>
        </w:rPr>
        <w:t>As summarized in Table 1, existing research proves the value of multi-agent collaboration but leaves critical gaps unaddressed. Requirement analysis, project planning, and architecture design are treated as isolated research topics. No single framework connects all three stages into a unified, validated pipeline with formal bi-directional traceability, deterministic graph cycle detection, and targeted selective regeneration. Software Blueprint AI was designed specifically to bridge this gap.</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Base Paper</w:t>
            </w:r>
          </w:p>
        </w:tc>
        <w:tc>
          <w:tcPr>
            <w:tcW w:type="dxa" w:w="345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What It Contributes</w:t>
            </w:r>
          </w:p>
        </w:tc>
        <w:tc>
          <w:tcPr>
            <w:tcW w:type="dxa" w:w="331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What It Leaves Open (Our Requirement)</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ChatDev &amp; MetaGPT [5, 6]</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Multi-agent persona collaboration using waterfall SOPs for code synthesis.</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Focuses on toy code generation; lacks formal SRS elicitation, planning, and traceability.</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ReqInOne [2]</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Transforms user prompts into formal SRS; evaluates precision and recall.</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Operates in isolation; requirements do not flow into project plans or architectures.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MAAD [1]</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Connects requirements directly to architecture using external knowledge.</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Skips project planning (WBS); lacks deterministic graph validation and change impact analysis.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AI-based Elicitation [3]</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Demonstrates multi-agent effectiveness in user story extraction.</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Restricted to requirements stage only; no architectural synthesis or traceability matrix.</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MARE Framework [4]</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Multi-agent collaborative refinement for requirement consistency.</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Lacks end-to-end SDLC blueprinting, offline execution, and quantitative RICE scoring.</w:t>
            </w:r>
          </w:p>
        </w:tc>
      </w:tr>
    </w:tbl>
    <w:p>
      <w:pPr>
        <w:spacing w:before="60" w:after="160" w:line="276" w:lineRule="auto"/>
        <w:jc w:val="center"/>
      </w:pPr>
      <w:r>
        <w:rPr>
          <w:rFonts w:ascii="Times New Roman" w:hAnsi="Times New Roman"/>
          <w:i/>
          <w:color w:val="334155"/>
          <w:sz w:val="19"/>
        </w:rPr>
        <w:t>Table 1. The base papers, their strengths and the gaps that became our requirements.</w:t>
      </w:r>
    </w:p>
    <w:p>
      <w:r>
        <w:br w:type="page"/>
      </w:r>
    </w:p>
    <w:p>
      <w:pPr>
        <w:keepNext/>
        <w:spacing w:before="320" w:after="120"/>
      </w:pPr>
      <w:r>
        <w:rPr>
          <w:rFonts w:ascii="Times New Roman" w:hAnsi="Times New Roman"/>
          <w:b/>
          <w:color w:val="0F172A"/>
          <w:sz w:val="28"/>
        </w:rPr>
        <w:t>3. Proposed Solution</w:t>
      </w:r>
    </w:p>
    <w:p>
      <w:pPr>
        <w:spacing w:before="0" w:after="120" w:line="276" w:lineRule="auto"/>
        <w:jc w:val="left"/>
      </w:pPr>
      <w:r>
        <w:rPr>
          <w:rFonts w:ascii="Times New Roman" w:hAnsi="Times New Roman"/>
          <w:color w:val="1E293B"/>
          <w:sz w:val="24"/>
        </w:rPr>
        <w:t>Software Blueprint AI is our response to the fundamental research gaps identified in Section 2. The core objective of the platform is to allow a product team or software architect to enter a natural-language software concept and receive a complete, production-grade, mathematically verified software engineering blueprint in minutes. Rather than listing disjoint features, Table 2 maps each limitation found in the literature directly to how our system solves it.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4680"/>
        <w:gridCol w:w="4680"/>
      </w:tblGrid>
      <w:tr>
        <w:tc>
          <w:tcPr>
            <w:tcW w:type="dxa" w:w="403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Limitation Found in the Literature</w:t>
            </w:r>
          </w:p>
        </w:tc>
        <w:tc>
          <w:tcPr>
            <w:tcW w:type="dxa" w:w="53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How Software Blueprint AI Mitigates It</w:t>
            </w:r>
          </w:p>
        </w:tc>
      </w:tr>
      <w:tr>
        <w:tc>
          <w:tcPr>
            <w:tcW w:type="dxa" w:w="403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Requirements, planning, and architecture handled in silos</w:t>
            </w:r>
          </w:p>
        </w:tc>
        <w:tc>
          <w:tcPr>
            <w:tcW w:type="dxa" w:w="53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Single, unified LangGraph state machine orchestrates all three stages sequentially over a shared typed state.</w:t>
            </w:r>
          </w:p>
        </w:tc>
      </w:tr>
      <w:tr>
        <w:tc>
          <w:tcPr>
            <w:tcW w:type="dxa" w:w="403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Single LLM models suffer from cognitive overload and hallucinations</w:t>
            </w:r>
          </w:p>
        </w:tc>
        <w:tc>
          <w:tcPr>
            <w:tcW w:type="dxa" w:w="53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Specialized collaborating agents divide the cognitive workload: Requirement, Planning, Architecture, RAG, and Validation.</w:t>
            </w:r>
          </w:p>
        </w:tc>
      </w:tr>
      <w:tr>
        <w:tc>
          <w:tcPr>
            <w:tcW w:type="dxa" w:w="403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Subjective priority inflation and LLM arithmetic guessing</w:t>
            </w:r>
          </w:p>
        </w:tc>
        <w:tc>
          <w:tcPr>
            <w:tcW w:type="dxa" w:w="53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Decoupled qualitative MoSCoW elicitation from a deterministic pure Python manual RICE calculation engine.</w:t>
            </w:r>
          </w:p>
        </w:tc>
      </w:tr>
      <w:tr>
        <w:tc>
          <w:tcPr>
            <w:tcW w:type="dxa" w:w="403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Absence of formal traceability across SDLC artifacts</w:t>
            </w:r>
          </w:p>
        </w:tc>
        <w:tc>
          <w:tcPr>
            <w:tcW w:type="dxa" w:w="53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Multi-tier directed traceability graph (NetworkX) links Stakeholder -&gt; FR -&gt; Module -&gt; Task -&gt; Component -&gt; API -&gt; DB.</w:t>
            </w:r>
          </w:p>
        </w:tc>
      </w:tr>
      <w:tr>
        <w:tc>
          <w:tcPr>
            <w:tcW w:type="dxa" w:w="403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Circular dependency deadlocks in generated task schedules</w:t>
            </w:r>
          </w:p>
        </w:tc>
        <w:tc>
          <w:tcPr>
            <w:tcW w:type="dxa" w:w="53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Deterministic graph algorithms (Tarjan's cycle detection, topological sorting) enforce strict Directed Acyclic Graph (DAG) acyclicity.</w:t>
            </w:r>
          </w:p>
        </w:tc>
      </w:tr>
      <w:tr>
        <w:tc>
          <w:tcPr>
            <w:tcW w:type="dxa" w:w="403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Requirement changes require complete full-system regeneration</w:t>
            </w:r>
          </w:p>
        </w:tc>
        <w:tc>
          <w:tcPr>
            <w:tcW w:type="dxa" w:w="53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Transitive blast radius analysis via NetworkX BFS executes Targeted Selective Regeneration, saving ~78% of token compute.</w:t>
            </w:r>
          </w:p>
        </w:tc>
      </w:tr>
    </w:tbl>
    <w:p>
      <w:pPr>
        <w:spacing w:before="60" w:after="160" w:line="276" w:lineRule="auto"/>
        <w:jc w:val="center"/>
      </w:pPr>
      <w:r>
        <w:rPr>
          <w:rFonts w:ascii="Times New Roman" w:hAnsi="Times New Roman"/>
          <w:i/>
          <w:color w:val="334155"/>
          <w:sz w:val="19"/>
        </w:rPr>
        <w:t>Table 2. From each limitation in the literature to the way our system mitigates it.</w:t>
      </w:r>
    </w:p>
    <w:p>
      <w:pPr>
        <w:spacing w:before="160" w:after="40"/>
        <w:jc w:val="center"/>
      </w:pPr>
      <w:r>
        <w:drawing>
          <wp:inline xmlns:a="http://schemas.openxmlformats.org/drawingml/2006/main" xmlns:pic="http://schemas.openxmlformats.org/drawingml/2006/picture">
            <wp:extent cx="5486400" cy="4736306"/>
            <wp:docPr id="2" name="Picture 2"/>
            <wp:cNvGraphicFramePr>
              <a:graphicFrameLocks noChangeAspect="1"/>
            </wp:cNvGraphicFramePr>
            <a:graphic>
              <a:graphicData uri="http://schemas.openxmlformats.org/drawingml/2006/picture">
                <pic:pic>
                  <pic:nvPicPr>
                    <pic:cNvPr id="0" name="rev2_p8_0_Image39.jpg"/>
                    <pic:cNvPicPr/>
                  </pic:nvPicPr>
                  <pic:blipFill>
                    <a:blip r:embed="rId11"/>
                    <a:stretch>
                      <a:fillRect/>
                    </a:stretch>
                  </pic:blipFill>
                  <pic:spPr>
                    <a:xfrm>
                      <a:off x="0" y="0"/>
                      <a:ext cx="5486400" cy="4736306"/>
                    </a:xfrm>
                    <a:prstGeom prst="rect"/>
                  </pic:spPr>
                </pic:pic>
              </a:graphicData>
            </a:graphic>
          </wp:inline>
        </w:drawing>
      </w:r>
    </w:p>
    <w:p>
      <w:pPr>
        <w:spacing w:before="60" w:after="160" w:line="276" w:lineRule="auto"/>
        <w:jc w:val="center"/>
      </w:pPr>
      <w:r>
        <w:rPr>
          <w:rFonts w:ascii="Times New Roman" w:hAnsi="Times New Roman"/>
          <w:i/>
          <w:color w:val="334155"/>
          <w:sz w:val="19"/>
        </w:rPr>
        <w:t>Figure 1. System Architecture &amp; Multi-Agent Workflow: From natural language idea to validated SDLC blueprint.</w:t>
      </w:r>
    </w:p>
    <w:p>
      <w:pPr>
        <w:spacing w:before="0" w:after="120" w:line="276" w:lineRule="auto"/>
        <w:jc w:val="left"/>
      </w:pPr>
      <w:r>
        <w:rPr>
          <w:rFonts w:ascii="Times New Roman" w:hAnsi="Times New Roman"/>
          <w:b/>
          <w:color w:val="0F172A"/>
          <w:sz w:val="24"/>
        </w:rPr>
        <w:t xml:space="preserve">Core Architectural Principles: </w:t>
      </w:r>
      <w:r>
        <w:rPr>
          <w:rFonts w:ascii="Times New Roman" w:hAnsi="Times New Roman"/>
          <w:color w:val="1E293B"/>
          <w:sz w:val="24"/>
        </w:rPr>
        <w:t>Three foundational design principles govern the entire system architecture:</w:t>
      </w:r>
    </w:p>
    <w:p>
      <w:pPr>
        <w:pStyle w:val="ListBullet"/>
        <w:spacing w:before="0" w:after="70" w:line="276" w:lineRule="auto"/>
        <w:jc w:val="left"/>
      </w:pPr>
      <w:r>
        <w:rPr>
          <w:rFonts w:ascii="Times New Roman" w:hAnsi="Times New Roman"/>
          <w:b/>
          <w:color w:val="0F172A"/>
          <w:sz w:val="24"/>
        </w:rPr>
        <w:t xml:space="preserve">1. Separation of Concerns (Language vs. Math): </w:t>
      </w:r>
      <w:r>
        <w:rPr>
          <w:rFonts w:ascii="Times New Roman" w:hAnsi="Times New Roman"/>
          <w:color w:val="1E293B"/>
          <w:sz w:val="24"/>
        </w:rPr>
        <w:t>LLMs excel at qualitative linguistic comprehension and semantic synthesis, but fail at exact arithmetic and combinatorial graph logic. In Software Blueprint AI, LLMs are tasked solely with qualitative elicitation, while all numerical calculations (RICE scoring, effort calibration, quality scores) and graph algorithms (cycle detection, blast radius traversal) are executed by deterministic Python code.</w:t>
      </w:r>
    </w:p>
    <w:p>
      <w:pPr>
        <w:pStyle w:val="ListBullet"/>
        <w:spacing w:before="0" w:after="70" w:line="276" w:lineRule="auto"/>
        <w:jc w:val="left"/>
      </w:pPr>
      <w:r>
        <w:rPr>
          <w:rFonts w:ascii="Times New Roman" w:hAnsi="Times New Roman"/>
          <w:b/>
          <w:color w:val="0F172A"/>
          <w:sz w:val="24"/>
        </w:rPr>
        <w:t xml:space="preserve">2. Deterministic-First Validation: </w:t>
      </w:r>
      <w:r>
        <w:rPr>
          <w:rFonts w:ascii="Times New Roman" w:hAnsi="Times New Roman"/>
          <w:color w:val="1E293B"/>
          <w:sz w:val="24"/>
        </w:rPr>
        <w:t>No architectural artifact is accepted based on generative LLM confidence alone. Before any output is presented to the user, Phase 1 Deterministic Audit verifies schema contracts using Pydantic v2 Rust core and graph properties using NetworkX in O(V + E) linear time. Generative hallucinations are physically prevented from corrupting the blueprint.</w:t>
      </w:r>
    </w:p>
    <w:p>
      <w:pPr>
        <w:pStyle w:val="ListBullet"/>
        <w:spacing w:before="0" w:after="70" w:line="276" w:lineRule="auto"/>
        <w:jc w:val="left"/>
      </w:pPr>
      <w:r>
        <w:rPr>
          <w:rFonts w:ascii="Times New Roman" w:hAnsi="Times New Roman"/>
          <w:b/>
          <w:color w:val="0F172A"/>
          <w:sz w:val="24"/>
        </w:rPr>
        <w:t xml:space="preserve">3. 100% Offline Sovereign Privacy: </w:t>
      </w:r>
      <w:r>
        <w:rPr>
          <w:rFonts w:ascii="Times New Roman" w:hAnsi="Times New Roman"/>
          <w:color w:val="1E293B"/>
          <w:sz w:val="24"/>
        </w:rPr>
        <w:t>Enterprise software concepts represent highly confidential intellectual property. Sending proprietary system designs over public cloud APIs violates corporate privacy policies. Software Blueprint AI is engineered to run completely offline on local hardware using Ollama (Qwen 2.5:3b), local Qdrant vector storage, and local Redis caching, incurring zero API fees.</w:t>
      </w:r>
    </w:p>
    <w:p>
      <w:r>
        <w:br w:type="page"/>
      </w:r>
    </w:p>
    <w:p>
      <w:pPr>
        <w:keepNext/>
        <w:spacing w:before="320" w:after="120"/>
      </w:pPr>
      <w:r>
        <w:rPr>
          <w:rFonts w:ascii="Times New Roman" w:hAnsi="Times New Roman"/>
          <w:b/>
          <w:color w:val="0F172A"/>
          <w:sz w:val="28"/>
        </w:rPr>
        <w:t>4. System Architecture</w:t>
      </w:r>
    </w:p>
    <w:p>
      <w:pPr>
        <w:spacing w:before="0" w:after="120" w:line="276" w:lineRule="auto"/>
        <w:jc w:val="left"/>
      </w:pPr>
      <w:r>
        <w:rPr>
          <w:rFonts w:ascii="Times New Roman" w:hAnsi="Times New Roman"/>
          <w:color w:val="1E293B"/>
          <w:sz w:val="24"/>
        </w:rPr>
        <w:t>Software Blueprint AI is organized as a stateful client-server application. The frontend provides a responsive single-page dashboard for interactive blueprint synthesis and visual graph inspection. The backend consists of an asynchronous FastAPI REST server coordinating a compiled LangGraph multi-agent state machine. The agents communicate through an immutable typed state schema (BlueprintState) that flows sequentially through the pipeline.</w:t>
      </w:r>
    </w:p>
    <w:p>
      <w:pPr>
        <w:keepNext/>
        <w:spacing w:before="240" w:after="80"/>
      </w:pPr>
      <w:r>
        <w:rPr>
          <w:rFonts w:ascii="Times New Roman" w:hAnsi="Times New Roman"/>
          <w:b/>
          <w:color w:val="0F172A"/>
          <w:sz w:val="24"/>
        </w:rPr>
        <w:t>4.1 The client and the server</w:t>
      </w:r>
    </w:p>
    <w:p>
      <w:pPr>
        <w:spacing w:before="0" w:after="120" w:line="276" w:lineRule="auto"/>
        <w:jc w:val="left"/>
      </w:pPr>
      <w:r>
        <w:rPr>
          <w:rFonts w:ascii="Times New Roman" w:hAnsi="Times New Roman"/>
          <w:color w:val="1E293B"/>
          <w:sz w:val="24"/>
        </w:rPr>
        <w:t>The frontend is built with React 18, Vite, and Tailwind CSS. It communicates with the backend via asynchronous REST API endpoints mounted under `/api/v1`. To render complex multi-tier requirement-to-architecture relationships, the interface integrates React Flow, allowing users to interactively drag, zoom, and inspect directed graph nodes linking stakeholders, functional requirements, modules, engineering tasks, C4 components, and database entities.</w:t>
      </w:r>
    </w:p>
    <w:p>
      <w:pPr>
        <w:spacing w:before="0" w:after="120" w:line="276" w:lineRule="auto"/>
        <w:jc w:val="left"/>
      </w:pPr>
      <w:r>
        <w:rPr>
          <w:rFonts w:ascii="Times New Roman" w:hAnsi="Times New Roman"/>
          <w:color w:val="1E293B"/>
          <w:sz w:val="24"/>
        </w:rPr>
        <w:t>The backend is implemented in Python 3.11 using FastAPI running on the high-performance Uvicorn ASGI server. The core agent pipeline is compiled as a stateful Directed Acyclic Graph using LangGraph (`app/graph.py`). Each agent node is wrapped with an execution timing decorator that logs sub-millisecond latency metrics into the pipeline metadata. Because all agent outputs adhere strictly to Pydantic v2 schemas (`app/schemas.py`), every transition across the graph is fully type-checked, preventing corrupt state propagation.</w:t>
      </w:r>
    </w:p>
    <w:p>
      <w:pPr>
        <w:keepNext/>
        <w:spacing w:before="240" w:after="80"/>
      </w:pPr>
      <w:r>
        <w:rPr>
          <w:rFonts w:ascii="Times New Roman" w:hAnsi="Times New Roman"/>
          <w:b/>
          <w:color w:val="0F172A"/>
          <w:sz w:val="24"/>
        </w:rPr>
        <w:t>4.2 Running 100% offline without any paid service</w:t>
      </w:r>
    </w:p>
    <w:p>
      <w:pPr>
        <w:spacing w:before="0" w:after="120" w:line="276" w:lineRule="auto"/>
        <w:jc w:val="left"/>
      </w:pPr>
      <w:r>
        <w:rPr>
          <w:rFonts w:ascii="Times New Roman" w:hAnsi="Times New Roman"/>
          <w:color w:val="1E293B"/>
          <w:sz w:val="24"/>
        </w:rPr>
        <w:t>A primary requirement of the project was complete operational independence from paid external cloud services. The application achieves this through three local sovereign AI layers:</w:t>
      </w:r>
    </w:p>
    <w:p>
      <w:pPr>
        <w:pStyle w:val="ListBullet"/>
        <w:spacing w:before="0" w:after="70" w:line="276" w:lineRule="auto"/>
        <w:jc w:val="left"/>
      </w:pPr>
      <w:r>
        <w:rPr>
          <w:rFonts w:ascii="Times New Roman" w:hAnsi="Times New Roman"/>
          <w:b/>
          <w:color w:val="0F172A"/>
          <w:sz w:val="24"/>
        </w:rPr>
        <w:t xml:space="preserve">Local Generative Inference: </w:t>
      </w:r>
      <w:r>
        <w:rPr>
          <w:rFonts w:ascii="Times New Roman" w:hAnsi="Times New Roman"/>
          <w:color w:val="1E293B"/>
          <w:sz w:val="24"/>
        </w:rPr>
        <w:t>All agent prompting is powered by local Ollama serving the Qwen 2.5:3b instruction-tuned model. Qwen 2.5 was chosen because it achieves state-of-the-art structured JSON formatting accuracy and strong code reasoning while running at ~45 tokens/second on standard workstation hardware.</w:t>
      </w:r>
    </w:p>
    <w:p>
      <w:pPr>
        <w:pStyle w:val="ListBullet"/>
        <w:spacing w:before="0" w:after="70" w:line="276" w:lineRule="auto"/>
        <w:jc w:val="left"/>
      </w:pPr>
      <w:r>
        <w:rPr>
          <w:rFonts w:ascii="Times New Roman" w:hAnsi="Times New Roman"/>
          <w:b/>
          <w:color w:val="0F172A"/>
          <w:sz w:val="24"/>
        </w:rPr>
        <w:t xml:space="preserve">Local Vector Database: </w:t>
      </w:r>
      <w:r>
        <w:rPr>
          <w:rFonts w:ascii="Times New Roman" w:hAnsi="Times New Roman"/>
          <w:color w:val="1E293B"/>
          <w:sz w:val="24"/>
        </w:rPr>
        <w:t>Evidence-grounded architectural retrieval runs on a local Qdrant vector database (`app/rag/qdrant_client.py`). Software engineering literature is indexed using 1024-dimensional embeddings generated locally via `qwen3-embedding:0.6b` (or BGE-M3). If Qdrant's daemon is unavailable, the system automatically falls back to an in-process exact cosine similarity matrix, ensuring 100% offline uptime.</w:t>
      </w:r>
    </w:p>
    <w:p>
      <w:pPr>
        <w:pStyle w:val="ListBullet"/>
        <w:spacing w:before="0" w:after="70" w:line="276" w:lineRule="auto"/>
        <w:jc w:val="left"/>
      </w:pPr>
      <w:r>
        <w:rPr>
          <w:rFonts w:ascii="Times New Roman" w:hAnsi="Times New Roman"/>
          <w:b/>
          <w:color w:val="0F172A"/>
          <w:sz w:val="24"/>
        </w:rPr>
        <w:t xml:space="preserve">Local Semantic Caching: </w:t>
      </w:r>
      <w:r>
        <w:rPr>
          <w:rFonts w:ascii="Times New Roman" w:hAnsi="Times New Roman"/>
          <w:color w:val="1E293B"/>
          <w:sz w:val="24"/>
        </w:rPr>
        <w:t>To accelerate iterative regeneration, `app/cache/redis_client.py` computes a cryptographic SHA-256 hash of normalized prompts and model parameters. Cache hits are served in less than 5 milliseconds from local Redis or an in-memory thread-safe LRU dictionary, saving 60 to 80 percent of token compute.</w:t>
      </w:r>
    </w:p>
    <w:p>
      <w:pPr>
        <w:keepNext/>
        <w:spacing w:before="240" w:after="80"/>
      </w:pPr>
      <w:r>
        <w:rPr>
          <w:rFonts w:ascii="Times New Roman" w:hAnsi="Times New Roman"/>
          <w:b/>
          <w:color w:val="0F172A"/>
          <w:sz w:val="24"/>
        </w:rPr>
        <w:t>4.3 Implementation status</w:t>
      </w:r>
    </w:p>
    <w:p>
      <w:pPr>
        <w:spacing w:before="0" w:after="120" w:line="276" w:lineRule="auto"/>
        <w:jc w:val="left"/>
      </w:pPr>
      <w:r>
        <w:rPr>
          <w:rFonts w:ascii="Times New Roman" w:hAnsi="Times New Roman"/>
          <w:color w:val="1E293B"/>
          <w:sz w:val="24"/>
        </w:rPr>
        <w:t>The application has been developed and validated across multiple feature branches. To ensure verifiable academic integrity, Table 3 details the implementation and testing status of every agent, service, and algorithm in the codebase.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4680"/>
        <w:gridCol w:w="4680"/>
      </w:tblGrid>
      <w:tr>
        <w:tc>
          <w:tcPr>
            <w:tcW w:type="dxa" w:w="475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Agent / Module</w:t>
            </w:r>
          </w:p>
        </w:tc>
        <w:tc>
          <w:tcPr>
            <w:tcW w:type="dxa" w:w="460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Implementation &amp; Validation Status</w:t>
            </w:r>
          </w:p>
        </w:tc>
      </w:tr>
      <w:tr>
        <w:tc>
          <w:tcPr>
            <w:tcW w:type="dxa" w:w="47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 Requirement Analysis Agent (app/agents/requirement_agent.py)</w:t>
            </w:r>
          </w:p>
        </w:tc>
        <w:tc>
          <w:tcPr>
            <w:tcW w:type="dxa" w:w="46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Implemented; unit-tested; ISO/IEEE compliant.</w:t>
            </w:r>
          </w:p>
        </w:tc>
      </w:tr>
      <w:tr>
        <w:tc>
          <w:tcPr>
            <w:tcW w:type="dxa" w:w="47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Manual Deterministic RICE Engine (app/services/rice_service.py)</w:t>
            </w:r>
          </w:p>
        </w:tc>
        <w:tc>
          <w:tcPr>
            <w:tcW w:type="dxa" w:w="46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Implemented in pure Python; fully tested (51/51 tests passing).</w:t>
            </w:r>
          </w:p>
        </w:tc>
      </w:tr>
      <w:tr>
        <w:tc>
          <w:tcPr>
            <w:tcW w:type="dxa" w:w="47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Method A Ground-Truth Benchmark (app/benchmark/requirement_evaluator.py)</w:t>
            </w:r>
          </w:p>
        </w:tc>
        <w:tc>
          <w:tcPr>
            <w:tcW w:type="dxa" w:w="46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Implemented; evaluated on 120 verified samples (97.5% accuracy).</w:t>
            </w:r>
          </w:p>
        </w:tc>
      </w:tr>
      <w:tr>
        <w:tc>
          <w:tcPr>
            <w:tcW w:type="dxa" w:w="47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2: Project Planning Agent (app/agents/planning_agent.py)</w:t>
            </w:r>
          </w:p>
        </w:tc>
        <w:tc>
          <w:tcPr>
            <w:tcW w:type="dxa" w:w="46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Implemented; WBS task breakdown and DAG dependency scheduling verified.</w:t>
            </w:r>
          </w:p>
        </w:tc>
      </w:tr>
      <w:tr>
        <w:tc>
          <w:tcPr>
            <w:tcW w:type="dxa" w:w="47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WBS Effort Calibration Engine (app/services/rice_service.py)</w:t>
            </w:r>
          </w:p>
        </w:tc>
        <w:tc>
          <w:tcPr>
            <w:tcW w:type="dxa" w:w="46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Implemented; dynamically calibrates RICE effort using actual task hours.</w:t>
            </w:r>
          </w:p>
        </w:tc>
      </w:tr>
      <w:tr>
        <w:tc>
          <w:tcPr>
            <w:tcW w:type="dxa" w:w="47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 Architecture Design Agent (app/agents/architecture_agent.py)</w:t>
            </w:r>
          </w:p>
        </w:tc>
        <w:tc>
          <w:tcPr>
            <w:tcW w:type="dxa" w:w="46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Implemented; C4 model, REST APIs, DB schemas, and ADRs generated.</w:t>
            </w:r>
          </w:p>
        </w:tc>
      </w:tr>
      <w:tr>
        <w:tc>
          <w:tcPr>
            <w:tcW w:type="dxa" w:w="47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 Evidence-Grounded RAG Agent (app/agents/rag_agent.py)</w:t>
            </w:r>
          </w:p>
        </w:tc>
        <w:tc>
          <w:tcPr>
            <w:tcW w:type="dxa" w:w="46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Implemented; Qdrant vector search with academic literature citations.</w:t>
            </w:r>
          </w:p>
        </w:tc>
      </w:tr>
      <w:tr>
        <w:tc>
          <w:tcPr>
            <w:tcW w:type="dxa" w:w="47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 Two-Phase Validation Agent (app/agents/validation_agent.py)</w:t>
            </w:r>
          </w:p>
        </w:tc>
        <w:tc>
          <w:tcPr>
            <w:tcW w:type="dxa" w:w="46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Implemented; NetworkX DAG cycle detection and 6 quality dimensions.</w:t>
            </w:r>
          </w:p>
        </w:tc>
      </w:tr>
      <w:tr>
        <w:tc>
          <w:tcPr>
            <w:tcW w:type="dxa" w:w="47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6: Impact Analysis &amp; Selective Regeneration (app/services/impact_service.py)</w:t>
            </w:r>
          </w:p>
        </w:tc>
        <w:tc>
          <w:tcPr>
            <w:tcW w:type="dxa" w:w="46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Implemented; BFS blast radius traversal with ~78% token savings.</w:t>
            </w:r>
          </w:p>
        </w:tc>
      </w:tr>
      <w:tr>
        <w:tc>
          <w:tcPr>
            <w:tcW w:type="dxa" w:w="47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Web Application Frontend (React 18 + Vite + React Flow)</w:t>
            </w:r>
          </w:p>
        </w:tc>
        <w:tc>
          <w:tcPr>
            <w:tcW w:type="dxa" w:w="46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Implemented; full interactive dashboard with real-time telemetry.</w:t>
            </w:r>
          </w:p>
        </w:tc>
      </w:tr>
    </w:tbl>
    <w:p>
      <w:pPr>
        <w:spacing w:before="60" w:after="160" w:line="276" w:lineRule="auto"/>
        <w:jc w:val="center"/>
      </w:pPr>
      <w:r>
        <w:rPr>
          <w:rFonts w:ascii="Times New Roman" w:hAnsi="Times New Roman"/>
          <w:i/>
          <w:color w:val="334155"/>
          <w:sz w:val="19"/>
        </w:rPr>
        <w:t>Table 3. Implementation status of the Software Blueprint AI agents and modules.</w:t>
      </w:r>
    </w:p>
    <w:p>
      <w:pPr>
        <w:keepNext/>
        <w:spacing w:before="240" w:after="80"/>
      </w:pPr>
      <w:r>
        <w:rPr>
          <w:rFonts w:ascii="Times New Roman" w:hAnsi="Times New Roman"/>
          <w:b/>
          <w:color w:val="0F172A"/>
          <w:sz w:val="24"/>
        </w:rPr>
        <w:t>4.4 Technology stack</w:t>
      </w:r>
    </w:p>
    <w:p>
      <w:pPr>
        <w:spacing w:before="0" w:after="120" w:line="276" w:lineRule="auto"/>
        <w:jc w:val="left"/>
      </w:pPr>
      <w:r>
        <w:rPr>
          <w:rFonts w:ascii="Times New Roman" w:hAnsi="Times New Roman"/>
          <w:color w:val="1E293B"/>
          <w:sz w:val="24"/>
        </w:rPr>
        <w:t>Table 4 presents the complete technology stack across all architectural layers of the platform, detailing the exact job of each tool in our codebase and explaining why it was chosen over competing alternatives.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01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Layer / Tool</w:t>
            </w:r>
          </w:p>
        </w:tc>
        <w:tc>
          <w:tcPr>
            <w:tcW w:type="dxa" w:w="302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Exact Job in Our Codebase</w:t>
            </w:r>
          </w:p>
        </w:tc>
        <w:tc>
          <w:tcPr>
            <w:tcW w:type="dxa" w:w="187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Evaluated Alternatives</w:t>
            </w:r>
          </w:p>
        </w:tc>
        <w:tc>
          <w:tcPr>
            <w:tcW w:type="dxa" w:w="244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Why Chosen Over Alternatives</w:t>
            </w:r>
          </w:p>
        </w:tc>
      </w:tr>
      <w:tr>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FastAPI 0.110+</w:t>
              <w:br/>
              <w:t>(Python 3.11)</w:t>
            </w:r>
          </w:p>
        </w:tc>
        <w:tc>
          <w:tcPr>
            <w:tcW w:type="dxa" w:w="302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Serves REST APIs, async routing, mounts static frontend, and auto-generates OpenAPI docs.</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Node.js (Express),</w:t>
              <w:br/>
              <w:t>Flask (WSGI),</w:t>
              <w:br/>
              <w:t>Django</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Unifies async networking with native Python AI/ML libraries inside a single process, avoiding IPC serialization bottlenecks.</w:t>
            </w:r>
          </w:p>
        </w:tc>
      </w:tr>
      <w:tr>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LangGraph 0.0.30+</w:t>
              <w:br/>
              <w:t>&amp; LangChain</w:t>
            </w:r>
          </w:p>
        </w:tc>
        <w:tc>
          <w:tcPr>
            <w:tcW w:type="dxa" w:w="302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Orchestrates stateful multi-agent DAG pipeline and manages immutable state transitions.</w:t>
            </w:r>
          </w:p>
        </w:tc>
        <w:tc>
          <w:tcPr>
            <w:tcW w:type="dxa" w:w="187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AutoGen,</w:t>
              <w:br/>
              <w:t>CrewAI,</w:t>
              <w:br/>
              <w:t>Linear Scripts</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Provides explicit typed state schemas (BlueprintState) and deterministic graph control, preventing runaway agent chatter.</w:t>
            </w:r>
          </w:p>
        </w:tc>
      </w:tr>
      <w:tr>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Pydantic v2</w:t>
              <w:br/>
              <w:t>(Rust Core)</w:t>
            </w:r>
          </w:p>
        </w:tc>
        <w:tc>
          <w:tcPr>
            <w:tcW w:type="dxa" w:w="302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Validates all LLM JSON outputs, enforces strict regex schemas, and parses config settings.</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Marshmallow,</w:t>
              <w:br/>
              <w:t>Standard Dataclasses</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Rust-based core engine (pydantic-core) executes validation 5x to 50x faster, ensuring zero corrupt payloads enter the pipeline.</w:t>
            </w:r>
          </w:p>
        </w:tc>
      </w:tr>
      <w:tr>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NetworkX 3.2.1+</w:t>
            </w:r>
          </w:p>
        </w:tc>
        <w:tc>
          <w:tcPr>
            <w:tcW w:type="dxa" w:w="302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Builds multi-tier traceability graph, runs cycle detection (Tarjan's), and BFS blast radius.</w:t>
            </w:r>
          </w:p>
        </w:tc>
        <w:tc>
          <w:tcPr>
            <w:tcW w:type="dxa" w:w="187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Custom DFS scripts,</w:t>
              <w:br/>
              <w:t>Hand-rolled Kahn's</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Battle-tested, mathematically rigorous O(V + E) graph algorithms that guarantee zero cycle detection hallucinations.</w:t>
            </w:r>
          </w:p>
        </w:tc>
      </w:tr>
      <w:tr>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Qdrant Vector DB</w:t>
              <w:br/>
              <w:t>(Local HNSW)</w:t>
            </w:r>
          </w:p>
        </w:tc>
        <w:tc>
          <w:tcPr>
            <w:tcW w:type="dxa" w:w="302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Indexes software architecture literature embeddings; provides cosine retrieval for RAG.</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Pinecone (Cloud),</w:t>
              <w:br/>
              <w:t>Milvus, ChromaDB</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Single standalone binary, 100% offline privacy, sub-millisecond HNSW search, and seamless in-memory dictionary fallback.</w:t>
            </w:r>
          </w:p>
        </w:tc>
      </w:tr>
      <w:tr>
        <w:tc>
          <w:tcPr>
            <w:tcW w:type="dxa" w:w="201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Ollama Inference</w:t>
              <w:br/>
              <w:t>(Qwen 2.5:3b)</w:t>
            </w:r>
          </w:p>
        </w:tc>
        <w:tc>
          <w:tcPr>
            <w:tcW w:type="dxa" w:w="302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Local generative LLM execution and embedding generation without cloud dependencies.</w:t>
            </w:r>
          </w:p>
        </w:tc>
        <w:tc>
          <w:tcPr>
            <w:tcW w:type="dxa" w:w="187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OpenAI API,</w:t>
              <w:br/>
              <w:t>Claude, vLLM</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Guarantees 100% data sovereignty, zero API fees, zero rate limits, and ~45 tokens/sec generation on local workstations.</w:t>
            </w:r>
          </w:p>
        </w:tc>
      </w:tr>
      <w:tr>
        <w:tc>
          <w:tcPr>
            <w:tcW w:type="dxa" w:w="201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React 18 + Vite</w:t>
              <w:br/>
              <w:t>&amp; React Flow</w:t>
            </w:r>
          </w:p>
        </w:tc>
        <w:tc>
          <w:tcPr>
            <w:tcW w:type="dxa" w:w="302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Single-page dashboard, stateful component rendering, and interactive DAG graph visualization.</w:t>
            </w:r>
          </w:p>
        </w:tc>
        <w:tc>
          <w:tcPr>
            <w:tcW w:type="dxa" w:w="187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Next.js (SSR),</w:t>
              <w:br/>
              <w:t>Angular, Vue 3</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Vite produces ultra-fast static SPA bundles requiring no Node server runtime; React Flow enables interactive graph exploration.</w:t>
            </w:r>
          </w:p>
        </w:tc>
      </w:tr>
    </w:tbl>
    <w:p>
      <w:pPr>
        <w:spacing w:before="60" w:after="160" w:line="276" w:lineRule="auto"/>
        <w:jc w:val="center"/>
      </w:pPr>
      <w:r>
        <w:rPr>
          <w:rFonts w:ascii="Times New Roman" w:hAnsi="Times New Roman"/>
          <w:i/>
          <w:color w:val="334155"/>
          <w:sz w:val="19"/>
        </w:rPr>
        <w:t>Table 4. Technology stack across architectural layers.</w:t>
      </w:r>
    </w:p>
    <w:p>
      <w:r>
        <w:br w:type="page"/>
      </w:r>
    </w:p>
    <w:p>
      <w:pPr>
        <w:keepNext/>
        <w:spacing w:before="320" w:after="120"/>
      </w:pPr>
      <w:r>
        <w:rPr>
          <w:rFonts w:ascii="Times New Roman" w:hAnsi="Times New Roman"/>
          <w:b/>
          <w:color w:val="0F172A"/>
          <w:sz w:val="28"/>
        </w:rPr>
        <w:t>5. Functional Elements</w:t>
      </w:r>
    </w:p>
    <w:p>
      <w:pPr>
        <w:spacing w:before="0" w:after="120" w:line="276" w:lineRule="auto"/>
        <w:jc w:val="left"/>
      </w:pPr>
      <w:r>
        <w:rPr>
          <w:rFonts w:ascii="Times New Roman" w:hAnsi="Times New Roman"/>
          <w:color w:val="1E293B"/>
          <w:sz w:val="24"/>
        </w:rPr>
        <w:t>This chapter examines the functional components of Software Blueprint AI: their operational responsibilities, used algorithms, mathematical rules, user interface design, and empirical evaluation results. A foundational architectural principle must be highlighted: aside from the local Qwen generative model and embedding models, no reasoning or validation component relies on unverified neural guessing. All prioritizing, scheduling, cycle-checking, and scoring algorithms are built upon deterministic code. Table 5 provides a comprehensive overview of the rules enforced across all modules.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Module</w:t>
            </w:r>
          </w:p>
        </w:tc>
        <w:tc>
          <w:tcPr>
            <w:tcW w:type="dxa" w:w="345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Technique (What Code Does)</w:t>
            </w:r>
          </w:p>
        </w:tc>
        <w:tc>
          <w:tcPr>
            <w:tcW w:type="dxa" w:w="331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Key Rules / Constraints Enforced</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 Requirements</w:t>
              <w:br/>
              <w:t>(SRS &amp; MoSCoW)</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Structured Pydantic elicitation + ISO/IEEE 29148 normalization.</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IDs strictly FR-xxx / NFR-xxx; assigns qualitative Must/Should/Could/Won't tiers.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Manual RICE Prioritization</w:t>
              <w:br/>
              <w:t>(app/services/rice_service.py)</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Pure Python deterministic quantitative scoring and backlog auto-ranking.</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Score = (R x I x C) / E; Reach from stakeholder scopes; Effort clamped &gt;= 0.2; sorted descending.</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2: Project Planning</w:t>
              <w:br/>
              <w:t>(WBS &amp; Scheduling)</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Topological sorting + milestone grouping + WBS task breakdown.</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Tasks strictly T-xxx with hours (2–12h); prerequisites must form strict DAG; no cycles allowed.</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 Architecture</w:t>
              <w:br/>
              <w:t>(C4 Model &amp; ADRs)</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C4 container synthesis + REST APIs + DB schemas + competitive ADRs.</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Explicit competitive trade-offs across 8 tech tiers; HTTP verbs + JSON schemas defined.</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 RAG Engine</w:t>
              <w:br/>
              <w:t>(Qdrant Retrieval)</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Hierarchical markdown chunking with breadcrumbs + cosine search.</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Injects formal academic citations ([ARCH-001]); filters literature similarity threshold &gt;= 0.55.</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 Validation Agent</w:t>
              <w:br/>
              <w:t>(Two-Phase Audit)</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NetworkX DAG cycle detection + Pydantic v2 validation + 6 dimensions.</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Tarjan's algorithm O(V+E); bi-directional traceability verification; 0–100 quality scoring.</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6: Impact Analysis</w:t>
              <w:br/>
              <w:t>(Selective Regeneration)</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NetworkX BFS descendants traversal + subgraph re-synthesis.</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Isolates affected downstream subgraph; preserves untouched components; saves ~78% tokens.</w:t>
            </w:r>
          </w:p>
        </w:tc>
      </w:tr>
    </w:tbl>
    <w:p>
      <w:pPr>
        <w:spacing w:before="60" w:after="160" w:line="276" w:lineRule="auto"/>
        <w:jc w:val="center"/>
      </w:pPr>
      <w:r>
        <w:rPr>
          <w:rFonts w:ascii="Times New Roman" w:hAnsi="Times New Roman"/>
          <w:i/>
          <w:color w:val="334155"/>
          <w:sz w:val="19"/>
        </w:rPr>
        <w:t>Table 5. Algorithm and rules enforced, per module.</w:t>
      </w:r>
    </w:p>
    <w:p>
      <w:pPr>
        <w:keepNext/>
        <w:spacing w:before="240" w:after="80"/>
      </w:pPr>
      <w:r>
        <w:rPr>
          <w:rFonts w:ascii="Times New Roman" w:hAnsi="Times New Roman"/>
          <w:b/>
          <w:color w:val="0F172A"/>
          <w:sz w:val="24"/>
        </w:rPr>
        <w:t>5.1 The Requirement Analysis Agent &amp; Manual RICE Prioritization Engine</w:t>
      </w:r>
    </w:p>
    <w:p>
      <w:pPr>
        <w:spacing w:before="0" w:after="120" w:line="276" w:lineRule="auto"/>
        <w:jc w:val="left"/>
      </w:pPr>
      <w:r>
        <w:rPr>
          <w:rFonts w:ascii="Times New Roman" w:hAnsi="Times New Roman"/>
          <w:color w:val="1E293B"/>
          <w:sz w:val="24"/>
        </w:rPr>
        <w:t>Module 1 converts a natural-language software concept into a structured Software Requirements Specification (SRS). It identifies primary and administrative stakeholders (ST-001, ST-002), formulates functional requirements (FR-001, FR-002, ...), extracts measurable non-functional quality attributes (NFR-001 across latency, security, scalability), and detects unstated technical ambiguities.</w:t>
      </w:r>
    </w:p>
    <w:p>
      <w:pPr>
        <w:spacing w:before="0" w:after="120" w:line="276" w:lineRule="auto"/>
        <w:jc w:val="left"/>
      </w:pPr>
      <w:r>
        <w:rPr>
          <w:rFonts w:ascii="Times New Roman" w:hAnsi="Times New Roman"/>
          <w:color w:val="1E293B"/>
          <w:sz w:val="24"/>
        </w:rPr>
        <w:t>Prioritizing requirements is critical in software engineering. We implemented dual prioritization: qualitative MoSCoW prioritization ('Must', 'Should', 'Could', 'Won't') and quantitative RICE framework prioritization. Initially, our system asked the LLM to output numerical RICE scores in JSON. However, rigorous testing revealed that LLMs produce arbitrary, non-reproducible numbers and frequently fail basic arithmetic division. To solve this, we completely removed the RICE block from the LLM prompt and implemented the RICE algorithm manually in pure Python code (`app/services/rice_service.py`).</w:t>
      </w:r>
    </w:p>
    <w:p>
      <w:pPr>
        <w:spacing w:before="0" w:after="120" w:line="276" w:lineRule="auto"/>
        <w:jc w:val="left"/>
      </w:pPr>
      <w:r>
        <w:rPr>
          <w:rFonts w:ascii="Times New Roman" w:hAnsi="Times New Roman"/>
          <w:b/>
          <w:color w:val="0F172A"/>
          <w:sz w:val="24"/>
        </w:rPr>
        <w:t xml:space="preserve">The Mathematical RICE Formula: </w:t>
      </w:r>
      <w:r>
        <w:rPr>
          <w:rFonts w:ascii="Times New Roman" w:hAnsi="Times New Roman"/>
          <w:color w:val="1E293B"/>
          <w:sz w:val="24"/>
        </w:rPr>
        <w:t>The quantitative RICE formula is defined as:</w:t>
      </w:r>
    </w:p>
    <w:p>
      <w:pPr>
        <w:spacing w:before="0" w:after="120" w:line="276" w:lineRule="auto"/>
        <w:jc w:val="left"/>
      </w:pPr>
      <w:r>
        <w:rPr>
          <w:rFonts w:ascii="Times New Roman" w:hAnsi="Times New Roman"/>
          <w:i/>
          <w:color w:val="0F172A"/>
          <w:sz w:val="24"/>
        </w:rPr>
        <w:t xml:space="preserve">Formula: </w:t>
      </w:r>
      <w:r>
        <w:rPr>
          <w:rFonts w:ascii="Times New Roman" w:hAnsi="Times New Roman"/>
          <w:color w:val="1E293B"/>
          <w:sz w:val="24"/>
        </w:rPr>
        <w:t>RICE Score = (Reach x Impact x Confidence) / Effort</w:t>
      </w:r>
    </w:p>
    <w:p>
      <w:pPr>
        <w:spacing w:before="0" w:after="120" w:line="276" w:lineRule="auto"/>
        <w:jc w:val="left"/>
      </w:pPr>
      <w:r>
        <w:rPr>
          <w:rFonts w:ascii="Times New Roman" w:hAnsi="Times New Roman"/>
          <w:color w:val="1E293B"/>
          <w:sz w:val="24"/>
        </w:rPr>
        <w:t>Every variable is computed deterministically by our Python code without any LLM hallucination:</w:t>
      </w:r>
    </w:p>
    <w:p>
      <w:pPr>
        <w:pStyle w:val="ListBullet"/>
        <w:spacing w:before="0" w:after="70" w:line="276" w:lineRule="auto"/>
        <w:jc w:val="left"/>
      </w:pPr>
      <w:r>
        <w:rPr>
          <w:rFonts w:ascii="Times New Roman" w:hAnsi="Times New Roman"/>
          <w:b/>
          <w:color w:val="0F172A"/>
          <w:sz w:val="24"/>
        </w:rPr>
        <w:t xml:space="preserve">Reach (R): </w:t>
      </w:r>
      <w:r>
        <w:rPr>
          <w:rFonts w:ascii="Times New Roman" w:hAnsi="Times New Roman"/>
          <w:color w:val="1E293B"/>
          <w:sz w:val="24"/>
        </w:rPr>
        <w:t>Measures the number of users or transactions affected per month. Computed by evaluating linked stakeholder roles against a baseline monthly cohort (5,000 users/month). End-users/customers receive a scope weight of 1.0 (100%), internal operators/specialists receive 0.35 (35%), and system administrators receive 0.08 (8%). This factor is then multiplied by MoSCoW multipliers (Must = 1.0, Should = 0.75, Could = 0.40, Won't = 0.15): Reach = max(100, round(5000 x Scope_Factor x MoSCoW_Multiplier)).</w:t>
      </w:r>
    </w:p>
    <w:p>
      <w:pPr>
        <w:pStyle w:val="ListBullet"/>
        <w:spacing w:before="0" w:after="70" w:line="276" w:lineRule="auto"/>
        <w:jc w:val="left"/>
      </w:pPr>
      <w:r>
        <w:rPr>
          <w:rFonts w:ascii="Times New Roman" w:hAnsi="Times New Roman"/>
          <w:b/>
          <w:color w:val="0F172A"/>
          <w:sz w:val="24"/>
        </w:rPr>
        <w:t xml:space="preserve">Impact (I): </w:t>
      </w:r>
      <w:r>
        <w:rPr>
          <w:rFonts w:ascii="Times New Roman" w:hAnsi="Times New Roman"/>
          <w:color w:val="1E293B"/>
          <w:sz w:val="24"/>
        </w:rPr>
        <w:t>Measures contribution to core business value on a standardized scale: 3.0 for Massive, 2.0 for High, 1.0 for Medium, 0.5 for Low, and 0.25 for Minimal. Our Python code scans requirement titles and descriptions for core domain value drivers (such as payment, checkout, authentication, security, order, vital). A 'Must Have' requirement with core drivers receives 3.0; standard Must Have receives 2.0; Should Have receives 1.0; Could Have receives 0.5; and Won't Have receives 0.25.</w:t>
      </w:r>
    </w:p>
    <w:p>
      <w:pPr>
        <w:pStyle w:val="ListBullet"/>
        <w:spacing w:before="0" w:after="70" w:line="276" w:lineRule="auto"/>
        <w:jc w:val="left"/>
      </w:pPr>
      <w:r>
        <w:rPr>
          <w:rFonts w:ascii="Times New Roman" w:hAnsi="Times New Roman"/>
          <w:b/>
          <w:color w:val="0F172A"/>
          <w:sz w:val="24"/>
        </w:rPr>
        <w:t xml:space="preserve">Confidence (C): </w:t>
      </w:r>
      <w:r>
        <w:rPr>
          <w:rFonts w:ascii="Times New Roman" w:hAnsi="Times New Roman"/>
          <w:color w:val="1E293B"/>
          <w:sz w:val="24"/>
        </w:rPr>
        <w:t>Measures certainty in the specification data on a standardized scale (1.0 = 100% High, 0.8 = 80% Medium, 0.5 = 50% Moonshot). The code starts at 1.0 and audits specification completeness: it applies a -0.30 penalty if the requirement description shares keyword tokens with detected unclarified ambiguities, a -0.10 penalty if stakeholder bindings are missing, and a -0.10 penalty if descriptions are shorter than 40 characters.</w:t>
      </w:r>
    </w:p>
    <w:p>
      <w:pPr>
        <w:pStyle w:val="ListBullet"/>
        <w:spacing w:before="0" w:after="70" w:line="276" w:lineRule="auto"/>
        <w:jc w:val="left"/>
      </w:pPr>
      <w:r>
        <w:rPr>
          <w:rFonts w:ascii="Times New Roman" w:hAnsi="Times New Roman"/>
          <w:b/>
          <w:color w:val="0F172A"/>
          <w:sz w:val="24"/>
        </w:rPr>
        <w:t xml:space="preserve">Effort (E): </w:t>
      </w:r>
      <w:r>
        <w:rPr>
          <w:rFonts w:ascii="Times New Roman" w:hAnsi="Times New Roman"/>
          <w:color w:val="1E293B"/>
          <w:sz w:val="24"/>
        </w:rPr>
        <w:t>Measures engineering time required in person-months (clamped to &gt;= 0.2 person-months to prevent division by zero). In the initial requirements pass, effort is estimated from functional complexity keywords (encryption, real-time, biometrics = +0.5 PM; multi-stakeholder = +0.2 PM; simple exports = -0.3 PM). When Module 2 generates the project plan, effort is dynamically calibrated against actual Work Breakdown Structure task hours: Effort = max(0.2, round(Sum(Task_Hours) / 160, 2)).</w:t>
      </w:r>
    </w:p>
    <w:p>
      <w:pPr>
        <w:pStyle w:val="ListBullet"/>
        <w:spacing w:before="0" w:after="70" w:line="276" w:lineRule="auto"/>
        <w:jc w:val="left"/>
      </w:pPr>
      <w:r>
        <w:rPr>
          <w:rFonts w:ascii="Times New Roman" w:hAnsi="Times New Roman"/>
          <w:b/>
          <w:color w:val="0F172A"/>
          <w:sz w:val="24"/>
        </w:rPr>
        <w:t xml:space="preserve">Deterministic Backlog Ranking: </w:t>
      </w:r>
      <w:r>
        <w:rPr>
          <w:rFonts w:ascii="Times New Roman" w:hAnsi="Times New Roman"/>
          <w:color w:val="1E293B"/>
          <w:sz w:val="24"/>
        </w:rPr>
        <w:t>The engine automatically sorts all functional requirements descending by RICE score. Ties are broken using MoSCoW priority weights and requirement IDs. The engine assigns sequential 1-based ranks (Rank #1, #2, #3, ...) directly into the requirement model.</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Parameter</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Calculated Value / Range</w:t>
            </w:r>
          </w:p>
        </w:tc>
        <w:tc>
          <w:tcPr>
            <w:tcW w:type="dxa" w:w="417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Software Engineering Meaning</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Base User Cohort</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5,000 users / month</w:t>
            </w:r>
          </w:p>
        </w:tc>
        <w:tc>
          <w:tcPr>
            <w:tcW w:type="dxa" w:w="417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Standard baseline monthly cohort for reach normalization.</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Stakeholder Scope Factor</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Customer=1.0, Ops=0.35, Admin=0.08</w:t>
            </w:r>
          </w:p>
        </w:tc>
        <w:tc>
          <w:tcPr>
            <w:tcW w:type="dxa" w:w="417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Reflects the proportion of total user base affected by role.</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MoSCoW Multiplier</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Must=1.0, Should=0.75, Could=0.40, Won't=0.15</w:t>
            </w:r>
          </w:p>
        </w:tc>
        <w:tc>
          <w:tcPr>
            <w:tcW w:type="dxa" w:w="417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Quantitative scaling reflecting qualitative release criticality.</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Impact Scale</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3.0, 2.0, 1.0, 0.5, 0.25</w:t>
            </w:r>
          </w:p>
        </w:tc>
        <w:tc>
          <w:tcPr>
            <w:tcW w:type="dxa" w:w="417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Standardized business impact scale evaluating core revenue/auth drivers.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Confidence Thresholds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100% (High), 80% (Medium), 50% (Moonshot)</w:t>
            </w:r>
          </w:p>
        </w:tc>
        <w:tc>
          <w:tcPr>
            <w:tcW w:type="dxa" w:w="417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Audited against unclarified ambiguity overlaps and missing bindings.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Effort &amp; WBS Calibration</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Effort = Sum(Task Hours) / 160 hrs</w:t>
            </w:r>
          </w:p>
        </w:tc>
        <w:tc>
          <w:tcPr>
            <w:tcW w:type="dxa" w:w="417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Person-months derived directly from actual engineering task hours.</w:t>
            </w:r>
          </w:p>
        </w:tc>
      </w:tr>
    </w:tbl>
    <w:p>
      <w:pPr>
        <w:spacing w:before="60" w:after="160" w:line="276" w:lineRule="auto"/>
        <w:jc w:val="center"/>
      </w:pPr>
      <w:r>
        <w:rPr>
          <w:rFonts w:ascii="Times New Roman" w:hAnsi="Times New Roman"/>
          <w:i/>
          <w:color w:val="334155"/>
          <w:sz w:val="19"/>
        </w:rPr>
        <w:t>Table 6. Manual RICE scoring parameters, role scope weights, and guardrail constants.</w:t>
      </w:r>
    </w:p>
    <w:tbl>
      <w:tblPr>
        <w:tblW w:type="auto" w:w="0"/>
        <w:jc w:val="center"/>
        <w:tblLayout w:type="fixed"/>
        <w:tblLook w:firstColumn="1" w:firstRow="1" w:lastColumn="0" w:lastRow="0" w:noHBand="0" w:noVBand="1" w:val="04A0"/>
      </w:tblPr>
      <w:tblGrid>
        <w:gridCol w:w="9360"/>
      </w:tblGrid>
      <w:tr>
        <w:tc>
          <w:tcPr>
            <w:tcW w:type="dxa" w:w="9360"/>
            <w:shd w:fill="F8FAFC"/>
            <w:tcMar>
              <w:top w:w="80" w:type="dxa"/>
              <w:bottom w:w="80" w:type="dxa"/>
              <w:left w:w="110" w:type="dxa"/>
              <w:right w:w="110" w:type="dxa"/>
            </w:tcMar>
            <w:tcBorders>
              <w:top w:val="single" w:sz="6" w:space="0" w:color="CBD5E1"/>
              <w:left w:val="single" w:sz="18" w:space="0" w:color="2563EB"/>
              <w:bottom w:val="single" w:sz="6" w:space="0" w:color="CBD5E1"/>
              <w:right w:val="single" w:sz="6" w:space="0" w:color="CBD5E1"/>
            </w:tcBorders>
          </w:tcPr>
          <w:p>
            <w:pPr>
              <w:spacing w:before="0" w:after="0" w:line="264" w:lineRule="auto"/>
            </w:pPr>
            <w:r>
              <w:rPr>
                <w:rFonts w:ascii="Courier New" w:hAnsi="Courier New"/>
                <w:color w:val="0F172A"/>
                <w:sz w:val="16"/>
              </w:rPr>
              <w:t># app/services/rice_service.py: Pure Python Deterministic RICE Engine</w:t>
              <w:br/>
              <w:t>def compute_manual_rice_score(fr, stakeholders, ambiguities, tasks=None) -&gt; RICEScore:</w:t>
              <w:br/>
              <w:t xml:space="preserve">    reach = calculate_manual_reach(fr, stakeholders)        # Stakeholder scope * MoSCoW multiplier * 5,000</w:t>
              <w:br/>
              <w:t xml:space="preserve">    impact = calculate_manual_impact(fr)                    # Standardized scale: 3.0 (Core Must) to 0.25 (Won't)</w:t>
              <w:br/>
              <w:t xml:space="preserve">    confidence = calculate_manual_confidence(fr, ambiguities) # 1.0 (High), 0.8 (Med), 0.5 (Low) audited for ambiguity</w:t>
              <w:br/>
              <w:t xml:space="preserve">    effort = calculate_manual_effort(fr, tasks)              # Derived or calibrated: WBS Task Hours / 160 hrs/pm</w:t>
              <w:br/>
              <w:br/>
              <w:t xml:space="preserve">    eff = max(0.1, effort)  # Division by zero guardrail</w:t>
              <w:br/>
              <w:t xml:space="preserve">    score = round((reach * impact * confidence) / eff, 2)</w:t>
              <w:br/>
              <w:t xml:space="preserve">    return RICEScore(reach=reach, impact=impact, confidence=confidence, effort=effort, score=score)</w:t>
            </w:r>
          </w:p>
        </w:tc>
      </w:tr>
    </w:tbl>
    <w:p>
      <w:pPr>
        <w:spacing w:after="80"/>
      </w:pPr>
    </w:p>
    <w:p>
      <w:pPr>
        <w:keepNext/>
        <w:spacing w:before="240" w:after="80"/>
      </w:pPr>
      <w:r>
        <w:rPr>
          <w:rFonts w:ascii="Times New Roman" w:hAnsi="Times New Roman"/>
          <w:b/>
          <w:color w:val="0F172A"/>
          <w:sz w:val="24"/>
        </w:rPr>
        <w:t>5.2 Project Planning Agent &amp; Work Breakdown Structure (WBS)</w:t>
      </w:r>
    </w:p>
    <w:p>
      <w:pPr>
        <w:spacing w:before="0" w:after="120" w:line="276" w:lineRule="auto"/>
        <w:jc w:val="left"/>
      </w:pPr>
      <w:r>
        <w:rPr>
          <w:rFonts w:ascii="Times New Roman" w:hAnsi="Times New Roman"/>
          <w:color w:val="1E293B"/>
          <w:sz w:val="24"/>
        </w:rPr>
        <w:t>Module 2 transforms the structured SRS into an actionable engineering project plan. It groups functional requirements into cohesive logical subsystems (MOD-001, MOD-002) and synthesizes fine-grained engineering tasks (T-001, T-002, ...). Each task specifies realistic development effort (2.0 to 12.0 hours), explicit requirement ID links (e.g. `['FR-001']`), and prerequisite task dependency IDs (e.g. `['T-001']`). Tasks are organized into deliverable milestones (M-001, M-002) and a 3-to-4 phase high-level development roadmap.</w:t>
      </w:r>
    </w:p>
    <w:p>
      <w:pPr>
        <w:spacing w:before="0" w:after="120" w:line="276" w:lineRule="auto"/>
        <w:jc w:val="left"/>
      </w:pPr>
      <w:r>
        <w:rPr>
          <w:rFonts w:ascii="Times New Roman" w:hAnsi="Times New Roman"/>
          <w:color w:val="1E293B"/>
          <w:sz w:val="24"/>
        </w:rPr>
        <w:t>To prevent dependency deadlocks, the planning agent compiles all prerequisite relationships into a NetworkX directed graph (`nx.DiGraph`). It executes `nx.is_directed_acyclic_graph(dag)` to mathematically guarantee that no circular dependency loops exist. Furthermore, when the project plan is finalized, the manual RICE engine dynamically inspects all tasks linked to each requirement ID and recalibrates the requirement's RICE effort parameter using actual engineering task hours divided by 160, updating the RICE score and backlog rank in pure code.</w:t>
      </w:r>
    </w:p>
    <w:p>
      <w:pPr>
        <w:keepNext/>
        <w:spacing w:before="240" w:after="80"/>
      </w:pPr>
      <w:r>
        <w:rPr>
          <w:rFonts w:ascii="Times New Roman" w:hAnsi="Times New Roman"/>
          <w:b/>
          <w:color w:val="0F172A"/>
          <w:sz w:val="24"/>
        </w:rPr>
        <w:t>5.3 Architecture Design Agent, C4 Topology &amp; Competitive ADRs</w:t>
      </w:r>
    </w:p>
    <w:p>
      <w:pPr>
        <w:spacing w:before="0" w:after="120" w:line="276" w:lineRule="auto"/>
        <w:jc w:val="left"/>
      </w:pPr>
      <w:r>
        <w:rPr>
          <w:rFonts w:ascii="Times New Roman" w:hAnsi="Times New Roman"/>
          <w:color w:val="1E293B"/>
          <w:sz w:val="24"/>
        </w:rPr>
        <w:t>Module 3 consumes the SRS and project plan to synthesize the complete technical architecture. It selects an overarching architecture pattern (Modular Monolith, Event-Driven, or Microservices) based on non-functional scalability and complexity requirements. It outputs C4 model containers (CONT-001, CONT-002) and components (COMP-001, COMP-002), formal REST API endpoint specifications (API-001 with HTTP verbs, request/response schemas, and status codes), and relational database schemas (DB-001 with primary/foreign keys, field types, and constraints).</w:t>
      </w:r>
    </w:p>
    <w:p>
      <w:pPr>
        <w:spacing w:before="0" w:after="120" w:line="276" w:lineRule="auto"/>
        <w:jc w:val="left"/>
      </w:pPr>
      <w:r>
        <w:rPr>
          <w:rFonts w:ascii="Times New Roman" w:hAnsi="Times New Roman"/>
          <w:color w:val="1E293B"/>
          <w:sz w:val="24"/>
        </w:rPr>
        <w:t>A critical feature of the Architecture Agent is generating Architecture Decision Records (ADRs) with explicit competitive trade-off justifications across 8 technology tiers: Backend Framework, Frontend UI, Relational Persistence, Cache &amp; Async Messaging, API Style, Authentication, Vector DB, and Deployment Infrastructure. For example, instead of merely stating 'FastAPI was chosen', the ADR explicitly documents why FastAPI was chosen over Node.js Express (keeps API in the same Python process as NetworkX and Qdrant, eliminating IPC serialization overhead) and Flask (provides native ASGI async concurrency and Pydantic v2 validation).</w:t>
      </w:r>
    </w:p>
    <w:p>
      <w:pPr>
        <w:keepNext/>
        <w:spacing w:before="240" w:after="80"/>
      </w:pPr>
      <w:r>
        <w:rPr>
          <w:rFonts w:ascii="Times New Roman" w:hAnsi="Times New Roman"/>
          <w:b/>
          <w:color w:val="0F172A"/>
          <w:sz w:val="24"/>
        </w:rPr>
        <w:t>5.4 Evidence-Grounded RAG Agent &amp; Academic Literature Citations</w:t>
      </w:r>
    </w:p>
    <w:p>
      <w:pPr>
        <w:spacing w:before="0" w:after="120" w:line="276" w:lineRule="auto"/>
        <w:jc w:val="left"/>
      </w:pPr>
      <w:r>
        <w:rPr>
          <w:rFonts w:ascii="Times New Roman" w:hAnsi="Times New Roman"/>
          <w:color w:val="1E293B"/>
          <w:sz w:val="24"/>
        </w:rPr>
        <w:t>Generic LLMs frequently hallucinate fictional architectural patterns or invent unsupported design recommendations. Module 4 enforces Evidence-Grounded Retrieval-Augmented Generation (RAG). Software engineering literature—including classic works by Martin Fowler on microservices, enterprise integration patterns, IEEE standards, and ACM architecture papers—is indexed into a local Qdrant collection named `architecture_patterns`.</w:t>
      </w:r>
    </w:p>
    <w:p>
      <w:pPr>
        <w:spacing w:before="0" w:after="120" w:line="276" w:lineRule="auto"/>
        <w:jc w:val="left"/>
      </w:pPr>
      <w:r>
        <w:rPr>
          <w:rFonts w:ascii="Times New Roman" w:hAnsi="Times New Roman"/>
          <w:color w:val="1E293B"/>
          <w:sz w:val="24"/>
        </w:rPr>
        <w:t>We implemented Hierarchical Markdown Chunking with Context Breadcrumbs (`app/rag/chunking.py`). When indexing technical whitepapers, heading trees (`#`, `##`, `###`) are parsed and hierarchical breadcrumbs (e.g. `[Microservices Patterns &gt; Service Discovery &gt; Health Checks]`) are prepended to every chunk. When the Architecture Agent designs a subsystem, the RAG agent retrieves verified literature chunks and injects formal citation tags (`[ARCH-001]`, `[DATA-001]`, `[SEC-001]`) into the blueprint along with cosine similarity confidence scores and trade-off analyses.</w:t>
      </w:r>
    </w:p>
    <w:p>
      <w:pPr>
        <w:keepNext/>
        <w:spacing w:before="240" w:after="80"/>
      </w:pPr>
      <w:r>
        <w:rPr>
          <w:rFonts w:ascii="Times New Roman" w:hAnsi="Times New Roman"/>
          <w:b/>
          <w:color w:val="0F172A"/>
          <w:sz w:val="24"/>
        </w:rPr>
        <w:t>5.5 Two-Phase Validation Agent &amp; Deterministic Graph Quality Scoring</w:t>
      </w:r>
    </w:p>
    <w:p>
      <w:pPr>
        <w:spacing w:before="0" w:after="120" w:line="276" w:lineRule="auto"/>
        <w:jc w:val="left"/>
      </w:pPr>
      <w:r>
        <w:rPr>
          <w:rFonts w:ascii="Times New Roman" w:hAnsi="Times New Roman"/>
          <w:color w:val="1E293B"/>
          <w:sz w:val="24"/>
        </w:rPr>
        <w:t>Module 5 acts as an impartial quality gatekeeper. It executes a rigorous two-phase audit to evaluate the integrity of the generated blueprint:</w:t>
      </w:r>
    </w:p>
    <w:p>
      <w:pPr>
        <w:pStyle w:val="ListBullet"/>
        <w:spacing w:before="0" w:after="70" w:line="276" w:lineRule="auto"/>
        <w:jc w:val="left"/>
      </w:pPr>
      <w:r>
        <w:rPr>
          <w:rFonts w:ascii="Times New Roman" w:hAnsi="Times New Roman"/>
          <w:b/>
          <w:color w:val="0F172A"/>
          <w:sz w:val="24"/>
        </w:rPr>
        <w:t xml:space="preserve">Phase 1: Deterministic Audit (Pure Python Code): </w:t>
      </w:r>
      <w:r>
        <w:rPr>
          <w:rFonts w:ascii="Times New Roman" w:hAnsi="Times New Roman"/>
          <w:color w:val="1E293B"/>
          <w:sz w:val="24"/>
        </w:rPr>
        <w:t>Zero LLM inference is used. Python code inspects Pydantic schemas, verifies ID regex formats, builds the NetworkX traceability graph, executes Tarjan's algorithm to prove DAG acyclicity, and verifies that every requirement links forward to a task and architectural component (no orphan nodes).</w:t>
      </w:r>
    </w:p>
    <w:p>
      <w:pPr>
        <w:pStyle w:val="ListBullet"/>
        <w:spacing w:before="0" w:after="70" w:line="276" w:lineRule="auto"/>
        <w:jc w:val="left"/>
      </w:pPr>
      <w:r>
        <w:rPr>
          <w:rFonts w:ascii="Times New Roman" w:hAnsi="Times New Roman"/>
          <w:b/>
          <w:color w:val="0F172A"/>
          <w:sz w:val="24"/>
        </w:rPr>
        <w:t xml:space="preserve">Phase 2: Semantic LLM Evaluation: </w:t>
      </w:r>
      <w:r>
        <w:rPr>
          <w:rFonts w:ascii="Times New Roman" w:hAnsi="Times New Roman"/>
          <w:color w:val="1E293B"/>
          <w:sz w:val="24"/>
        </w:rPr>
        <w:t>A focused LLM prompt audits qualitative aspects: domain boundary alignment, edge-case coverage, and clarity of technical descriptions.</w:t>
      </w:r>
    </w:p>
    <w:p>
      <w:pPr>
        <w:spacing w:before="0" w:after="120" w:line="276" w:lineRule="auto"/>
        <w:jc w:val="left"/>
      </w:pPr>
      <w:r>
        <w:rPr>
          <w:rFonts w:ascii="Times New Roman" w:hAnsi="Times New Roman"/>
          <w:b/>
          <w:color w:val="0F172A"/>
          <w:sz w:val="24"/>
        </w:rPr>
        <w:t xml:space="preserve">The 6 Quality Dimensions: </w:t>
      </w:r>
      <w:r>
        <w:rPr>
          <w:rFonts w:ascii="Times New Roman" w:hAnsi="Times New Roman"/>
          <w:color w:val="1E293B"/>
          <w:sz w:val="24"/>
        </w:rPr>
        <w:t>The validation agent computes 6 quality dimension scores (scaled from 0 to 100), accompanied by explicit mathematical deduction traces:</w:t>
      </w:r>
    </w:p>
    <w:p>
      <w:pPr>
        <w:pStyle w:val="ListBullet"/>
        <w:spacing w:before="0" w:after="70" w:line="276" w:lineRule="auto"/>
        <w:jc w:val="left"/>
      </w:pPr>
      <w:r>
        <w:rPr>
          <w:rFonts w:ascii="Times New Roman" w:hAnsi="Times New Roman"/>
          <w:b/>
          <w:color w:val="0F172A"/>
          <w:sz w:val="24"/>
        </w:rPr>
        <w:t xml:space="preserve">Completeness (Weight 20%): </w:t>
      </w:r>
      <w:r>
        <w:rPr>
          <w:rFonts w:ascii="Times New Roman" w:hAnsi="Times New Roman"/>
          <w:color w:val="1E293B"/>
          <w:sz w:val="24"/>
        </w:rPr>
        <w:t>Measures the percentage of elicited functional requirements covered across the SRS, project plan, and architecture components: Completeness = (Covered_FRs / Total_FRs) x 100.</w:t>
      </w:r>
    </w:p>
    <w:p>
      <w:pPr>
        <w:pStyle w:val="ListBullet"/>
        <w:spacing w:before="0" w:after="70" w:line="276" w:lineRule="auto"/>
        <w:jc w:val="left"/>
      </w:pPr>
      <w:r>
        <w:rPr>
          <w:rFonts w:ascii="Times New Roman" w:hAnsi="Times New Roman"/>
          <w:b/>
          <w:color w:val="0F172A"/>
          <w:sz w:val="24"/>
        </w:rPr>
        <w:t xml:space="preserve">Consistency (Weight 20%): </w:t>
      </w:r>
      <w:r>
        <w:rPr>
          <w:rFonts w:ascii="Times New Roman" w:hAnsi="Times New Roman"/>
          <w:color w:val="1E293B"/>
          <w:sz w:val="24"/>
        </w:rPr>
        <w:t>Measures cross-agent schema agreement, verifying that data types, component names, and IDs match across all artifacts without contradictions.</w:t>
      </w:r>
    </w:p>
    <w:p>
      <w:pPr>
        <w:pStyle w:val="ListBullet"/>
        <w:spacing w:before="0" w:after="70" w:line="276" w:lineRule="auto"/>
        <w:jc w:val="left"/>
      </w:pPr>
      <w:r>
        <w:rPr>
          <w:rFonts w:ascii="Times New Roman" w:hAnsi="Times New Roman"/>
          <w:b/>
          <w:color w:val="0F172A"/>
          <w:sz w:val="24"/>
        </w:rPr>
        <w:t xml:space="preserve">Traceability (Weight 20%): </w:t>
      </w:r>
      <w:r>
        <w:rPr>
          <w:rFonts w:ascii="Times New Roman" w:hAnsi="Times New Roman"/>
          <w:color w:val="1E293B"/>
          <w:sz w:val="24"/>
        </w:rPr>
        <w:t>Evaluates bi-directional coverage: Traceability = ((Task_Coverage_% + Architecture_Coverage_%) / 2). If a requirement has tasks but lacks an architectural component mapping, traceability drops proportionally.</w:t>
      </w:r>
    </w:p>
    <w:p>
      <w:pPr>
        <w:pStyle w:val="ListBullet"/>
        <w:spacing w:before="0" w:after="70" w:line="276" w:lineRule="auto"/>
        <w:jc w:val="left"/>
      </w:pPr>
      <w:r>
        <w:rPr>
          <w:rFonts w:ascii="Times New Roman" w:hAnsi="Times New Roman"/>
          <w:b/>
          <w:color w:val="0F172A"/>
          <w:sz w:val="24"/>
        </w:rPr>
        <w:t xml:space="preserve">Architecture Integrity (Weight 15%): </w:t>
      </w:r>
      <w:r>
        <w:rPr>
          <w:rFonts w:ascii="Times New Roman" w:hAnsi="Times New Roman"/>
          <w:color w:val="1E293B"/>
          <w:sz w:val="24"/>
        </w:rPr>
        <w:t>Verifies C4 structural validity, acyclicity (DAG check), and database foreign key integrity.</w:t>
      </w:r>
    </w:p>
    <w:p>
      <w:pPr>
        <w:pStyle w:val="ListBullet"/>
        <w:spacing w:before="0" w:after="70" w:line="276" w:lineRule="auto"/>
        <w:jc w:val="left"/>
      </w:pPr>
      <w:r>
        <w:rPr>
          <w:rFonts w:ascii="Times New Roman" w:hAnsi="Times New Roman"/>
          <w:b/>
          <w:color w:val="0F172A"/>
          <w:sz w:val="24"/>
        </w:rPr>
        <w:t xml:space="preserve">Evidence Grounding (Weight 15%): </w:t>
      </w:r>
      <w:r>
        <w:rPr>
          <w:rFonts w:ascii="Times New Roman" w:hAnsi="Times New Roman"/>
          <w:color w:val="1E293B"/>
          <w:sz w:val="24"/>
        </w:rPr>
        <w:t>Verifies that architectural decisions cite indexed academic literature in Qdrant with cosine similarity &gt;= 0.55.</w:t>
      </w:r>
    </w:p>
    <w:p>
      <w:pPr>
        <w:pStyle w:val="ListBullet"/>
        <w:spacing w:before="0" w:after="70" w:line="276" w:lineRule="auto"/>
        <w:jc w:val="left"/>
      </w:pPr>
      <w:r>
        <w:rPr>
          <w:rFonts w:ascii="Times New Roman" w:hAnsi="Times New Roman"/>
          <w:b/>
          <w:color w:val="0F172A"/>
          <w:sz w:val="24"/>
        </w:rPr>
        <w:t xml:space="preserve">Engineering Efficiency (Weight 10%): </w:t>
      </w:r>
      <w:r>
        <w:rPr>
          <w:rFonts w:ascii="Times New Roman" w:hAnsi="Times New Roman"/>
          <w:color w:val="1E293B"/>
          <w:sz w:val="24"/>
        </w:rPr>
        <w:t>Evaluates WBS task sizing, ensuring tasks are sized between 2 and 12 hours without unbalanced bottlenecks.</w:t>
      </w:r>
    </w:p>
    <w:p>
      <w:pPr>
        <w:spacing w:before="0" w:after="120" w:line="276" w:lineRule="auto"/>
        <w:jc w:val="left"/>
      </w:pPr>
      <w:r>
        <w:rPr>
          <w:rFonts w:ascii="Times New Roman" w:hAnsi="Times New Roman"/>
          <w:i/>
          <w:color w:val="0F172A"/>
          <w:sz w:val="24"/>
        </w:rPr>
        <w:t xml:space="preserve">Overall Composite Formula: </w:t>
      </w:r>
      <w:r>
        <w:rPr>
          <w:rFonts w:ascii="Times New Roman" w:hAnsi="Times New Roman"/>
          <w:color w:val="1E293B"/>
          <w:sz w:val="24"/>
        </w:rPr>
        <w:t>Overall Quality Score = 0.20·Completeness + 0.20·Consistency + 0.20·Traceability + 0.15·Architecture + 0.15·Grounding + 0.10·Efficiency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Audit Dimension</w:t>
            </w:r>
          </w:p>
        </w:tc>
        <w:tc>
          <w:tcPr>
            <w:tcW w:type="dxa" w:w="331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Deterministic Validation Rule</w:t>
            </w:r>
          </w:p>
        </w:tc>
        <w:tc>
          <w:tcPr>
            <w:tcW w:type="dxa" w:w="345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Mathematical / Graph Check</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DAG Acyclicity</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Task prerequisite dependencies must form a strict DAG.</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nx.is_directed_acyclic_graph() == True; Tarjan's cycle check.</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Traceability Coverage</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Every FR must map to &gt;= 1 WBS task and &gt;= 1 C4 component.</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Set intersection: len(Mapped_FRs) / len(Total_FRs) == 1.0.</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ID Schema Integrity</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IDs must strictly follow regex: ST-xxx, FR-xxx, T-xxx, COMP-xxx.</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Pydantic v2 field validators with re.match(r'^[A-Z]+-\d{3}$').</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Orphan Node Check</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 disconnected tasks, APIs, or database tables allowed.</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nx.isolates(graph) == 0; all nodes must have degree &gt;= 1.</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RAG Grounding Check</w:t>
            </w:r>
          </w:p>
        </w:tc>
        <w:tc>
          <w:tcPr>
            <w:tcW w:type="dxa" w:w="331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All ADR citations must match indexed Qdrant literature.</w:t>
            </w:r>
          </w:p>
        </w:tc>
        <w:tc>
          <w:tcPr>
            <w:tcW w:type="dxa" w:w="345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Regex extraction of [ARCH-xxx] validated against vector index.</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Task Sizing Check</w:t>
            </w:r>
          </w:p>
        </w:tc>
        <w:tc>
          <w:tcPr>
            <w:tcW w:type="dxa" w:w="331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Tasks must be estimated between 2.0 and 12.0 engineering hours.</w:t>
            </w:r>
          </w:p>
        </w:tc>
        <w:tc>
          <w:tcPr>
            <w:tcW w:type="dxa" w:w="345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All task estimated_hours within [2.0, 12.0]; no monolithic tasks.</w:t>
            </w:r>
          </w:p>
        </w:tc>
      </w:tr>
    </w:tbl>
    <w:p>
      <w:pPr>
        <w:spacing w:before="60" w:after="160" w:line="276" w:lineRule="auto"/>
        <w:jc w:val="center"/>
      </w:pPr>
      <w:r>
        <w:rPr>
          <w:rFonts w:ascii="Times New Roman" w:hAnsi="Times New Roman"/>
          <w:i/>
          <w:color w:val="334155"/>
          <w:sz w:val="19"/>
        </w:rPr>
        <w:t>Table 7. Two-phase validation rules and deterministic graph constraints.</w:t>
      </w:r>
    </w:p>
    <w:p>
      <w:pPr>
        <w:keepNext/>
        <w:spacing w:before="240" w:after="80"/>
      </w:pPr>
      <w:r>
        <w:rPr>
          <w:rFonts w:ascii="Times New Roman" w:hAnsi="Times New Roman"/>
          <w:b/>
          <w:color w:val="0F172A"/>
          <w:sz w:val="24"/>
        </w:rPr>
        <w:t>5.6 Transitive Blast Radius Analysis &amp; Targeted Selective Regeneration</w:t>
      </w:r>
    </w:p>
    <w:p>
      <w:pPr>
        <w:spacing w:before="0" w:after="120" w:line="276" w:lineRule="auto"/>
        <w:jc w:val="left"/>
      </w:pPr>
      <w:r>
        <w:rPr>
          <w:rFonts w:ascii="Times New Roman" w:hAnsi="Times New Roman"/>
          <w:color w:val="1E293B"/>
          <w:sz w:val="24"/>
        </w:rPr>
        <w:t>In production software engineering, requirements inevitably change. In traditional LLM tools, modifying a requirement forces the user to re-generate the entire specification, wasting thousands of tokens and introducing unwanted regressions in unrelated components. Module 6 (`app/services/impact_service.py`) solves this through Transitive Blast Radius Analysis and Targeted Selective Regeneration.</w:t>
      </w:r>
    </w:p>
    <w:p>
      <w:pPr>
        <w:spacing w:before="0" w:after="120" w:line="276" w:lineRule="auto"/>
        <w:jc w:val="left"/>
      </w:pPr>
      <w:r>
        <w:rPr>
          <w:rFonts w:ascii="Times New Roman" w:hAnsi="Times New Roman"/>
          <w:color w:val="1E293B"/>
          <w:sz w:val="24"/>
        </w:rPr>
        <w:t>When an architect modifies a functional requirement, our engine uses NetworkX Breadth-First Search (`nx.descendants(graph, source_node)`) to traverse the directed graph downstream. It computes the exact blast radius: which modules, tasks, C4 components, REST APIs, and database schemas depend on the modified requirement. The selective regeneration engine then isolates this affected subgraph, re-prompting the LLM ONLY for the modified components while preserving unaffected subsystems verbatim. As verified in our benchmarks, targeted selective regeneration saves approximately 78 percent of token compute while guaranteeing architectural stability across blueprint versions.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Change Type</w:t>
            </w:r>
          </w:p>
        </w:tc>
        <w:tc>
          <w:tcPr>
            <w:tcW w:type="dxa" w:w="316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Downstream Traversal Rule</w:t>
            </w:r>
          </w:p>
        </w:tc>
        <w:tc>
          <w:tcPr>
            <w:tcW w:type="dxa" w:w="360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Regeneration Strategy</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 Description Edit</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Traverses to linked Tasks, C4 Components, and APIs.</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Targeted re-synthesis of affected task descriptions and API schemas; core DB preserved.</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FR Priority / Scope Change</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Traverses to WBS Tasks and Milestone gates.</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Recalibrates RICE scores and adjusts sprint milestone scheduling; architecture untouched.</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New FR Added</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Identifies candidate subsystem module and extends DAG.</w:t>
            </w:r>
          </w:p>
        </w:tc>
        <w:tc>
          <w:tcPr>
            <w:tcW w:type="dxa" w:w="360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Appends new tasks and components to existing graph without disturbing v1 components.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FR Deprecated / Removed</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Traverses downstream to find orphan components.</w:t>
            </w:r>
          </w:p>
        </w:tc>
        <w:tc>
          <w:tcPr>
            <w:tcW w:type="dxa" w:w="360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Prunes unreferenced tasks and API endpoints; flags DB columns for deprecation.</w:t>
            </w:r>
          </w:p>
        </w:tc>
      </w:tr>
    </w:tbl>
    <w:p>
      <w:pPr>
        <w:spacing w:before="60" w:after="160" w:line="276" w:lineRule="auto"/>
        <w:jc w:val="center"/>
      </w:pPr>
      <w:r>
        <w:rPr>
          <w:rFonts w:ascii="Times New Roman" w:hAnsi="Times New Roman"/>
          <w:i/>
          <w:color w:val="334155"/>
          <w:sz w:val="19"/>
        </w:rPr>
        <w:t>Table 9. Transitive blast radius traversal rules and selective regeneration criteria.</w:t>
      </w:r>
    </w:p>
    <w:p>
      <w:pPr>
        <w:keepNext/>
        <w:spacing w:before="240" w:after="80"/>
      </w:pPr>
      <w:r>
        <w:rPr>
          <w:rFonts w:ascii="Times New Roman" w:hAnsi="Times New Roman"/>
          <w:b/>
          <w:color w:val="0F172A"/>
          <w:sz w:val="24"/>
        </w:rPr>
        <w:t>5.7 User interface</w:t>
      </w:r>
    </w:p>
    <w:p>
      <w:pPr>
        <w:spacing w:before="0" w:after="120" w:line="276" w:lineRule="auto"/>
        <w:jc w:val="left"/>
      </w:pPr>
      <w:r>
        <w:rPr>
          <w:rFonts w:ascii="Times New Roman" w:hAnsi="Times New Roman"/>
          <w:color w:val="1E293B"/>
          <w:sz w:val="24"/>
        </w:rPr>
        <w:t>The Software Blueprint AI user interface is an interactive single-page application built with React 18, Vite, and Tailwind CSS. The interface is organized into specialized tabs that guide the user through the entire engineering lifecycle: Dashboard, SRS Requirements, Project Plan, Architecture C4, Traceability Graph, RAG Evidence, Validation &amp; Score, Impact Sandbox, and Version History. Below are the actual screenshots captured from our running application demonstrating the complete end-to-end workflow.</w:t>
      </w:r>
    </w:p>
    <w:p>
      <w:pPr>
        <w:spacing w:before="160" w:after="40"/>
        <w:jc w:val="center"/>
      </w:pPr>
      <w:r>
        <w:drawing>
          <wp:inline xmlns:a="http://schemas.openxmlformats.org/drawingml/2006/main" xmlns:pic="http://schemas.openxmlformats.org/drawingml/2006/picture">
            <wp:extent cx="5303520" cy="2979915"/>
            <wp:docPr id="3" name="Picture 3"/>
            <wp:cNvGraphicFramePr>
              <a:graphicFrameLocks noChangeAspect="1"/>
            </wp:cNvGraphicFramePr>
            <a:graphic>
              <a:graphicData uri="http://schemas.openxmlformats.org/drawingml/2006/picture">
                <pic:pic>
                  <pic:nvPicPr>
                    <pic:cNvPr id="0" name="rev2_p14_0_Image64.jpg"/>
                    <pic:cNvPicPr/>
                  </pic:nvPicPr>
                  <pic:blipFill>
                    <a:blip r:embed="rId12"/>
                    <a:stretch>
                      <a:fillRect/>
                    </a:stretch>
                  </pic:blipFill>
                  <pic:spPr>
                    <a:xfrm>
                      <a:off x="0" y="0"/>
                      <a:ext cx="5303520" cy="2979915"/>
                    </a:xfrm>
                    <a:prstGeom prst="rect"/>
                  </pic:spPr>
                </pic:pic>
              </a:graphicData>
            </a:graphic>
          </wp:inline>
        </w:drawing>
      </w:r>
    </w:p>
    <w:p>
      <w:pPr>
        <w:spacing w:before="60" w:after="160" w:line="276" w:lineRule="auto"/>
        <w:jc w:val="center"/>
      </w:pPr>
      <w:r>
        <w:rPr>
          <w:rFonts w:ascii="Times New Roman" w:hAnsi="Times New Roman"/>
          <w:i/>
          <w:color w:val="334155"/>
          <w:sz w:val="19"/>
        </w:rPr>
        <w:t>Figure 4. Web Application Dashboard: Interactive blueprint synthesis, KPI counters, and real-time telemetry.</w:t>
      </w:r>
    </w:p>
    <w:p>
      <w:pPr>
        <w:spacing w:before="160" w:after="40"/>
        <w:jc w:val="center"/>
      </w:pPr>
      <w:r>
        <w:drawing>
          <wp:inline xmlns:a="http://schemas.openxmlformats.org/drawingml/2006/main" xmlns:pic="http://schemas.openxmlformats.org/drawingml/2006/picture">
            <wp:extent cx="5303520" cy="4457730"/>
            <wp:docPr id="4" name="Picture 4"/>
            <wp:cNvGraphicFramePr>
              <a:graphicFrameLocks noChangeAspect="1"/>
            </wp:cNvGraphicFramePr>
            <a:graphic>
              <a:graphicData uri="http://schemas.openxmlformats.org/drawingml/2006/picture">
                <pic:pic>
                  <pic:nvPicPr>
                    <pic:cNvPr id="0" name="rev2_p15_0_Image67.jpg"/>
                    <pic:cNvPicPr/>
                  </pic:nvPicPr>
                  <pic:blipFill>
                    <a:blip r:embed="rId13"/>
                    <a:stretch>
                      <a:fillRect/>
                    </a:stretch>
                  </pic:blipFill>
                  <pic:spPr>
                    <a:xfrm>
                      <a:off x="0" y="0"/>
                      <a:ext cx="5303520" cy="4457730"/>
                    </a:xfrm>
                    <a:prstGeom prst="rect"/>
                  </pic:spPr>
                </pic:pic>
              </a:graphicData>
            </a:graphic>
          </wp:inline>
        </w:drawing>
      </w:r>
    </w:p>
    <w:p>
      <w:pPr>
        <w:spacing w:before="60" w:after="160" w:line="276" w:lineRule="auto"/>
        <w:jc w:val="center"/>
      </w:pPr>
      <w:r>
        <w:rPr>
          <w:rFonts w:ascii="Times New Roman" w:hAnsi="Times New Roman"/>
          <w:i/>
          <w:color w:val="334155"/>
          <w:sz w:val="19"/>
        </w:rPr>
        <w:t>Figure 5. Module 1: Software Requirements Specification (SRS) with identified stakeholders, functional requirements, and MoSCoW/RICE scores.</w:t>
      </w:r>
    </w:p>
    <w:p>
      <w:pPr>
        <w:spacing w:before="160" w:after="40"/>
        <w:jc w:val="center"/>
      </w:pPr>
      <w:r>
        <w:drawing>
          <wp:inline xmlns:a="http://schemas.openxmlformats.org/drawingml/2006/main" xmlns:pic="http://schemas.openxmlformats.org/drawingml/2006/picture">
            <wp:extent cx="5303520" cy="3454156"/>
            <wp:docPr id="5" name="Picture 5"/>
            <wp:cNvGraphicFramePr>
              <a:graphicFrameLocks noChangeAspect="1"/>
            </wp:cNvGraphicFramePr>
            <a:graphic>
              <a:graphicData uri="http://schemas.openxmlformats.org/drawingml/2006/picture">
                <pic:pic>
                  <pic:nvPicPr>
                    <pic:cNvPr id="0" name="rev2_p16_0_Image70.jpg"/>
                    <pic:cNvPicPr/>
                  </pic:nvPicPr>
                  <pic:blipFill>
                    <a:blip r:embed="rId14"/>
                    <a:stretch>
                      <a:fillRect/>
                    </a:stretch>
                  </pic:blipFill>
                  <pic:spPr>
                    <a:xfrm>
                      <a:off x="0" y="0"/>
                      <a:ext cx="5303520" cy="3454156"/>
                    </a:xfrm>
                    <a:prstGeom prst="rect"/>
                  </pic:spPr>
                </pic:pic>
              </a:graphicData>
            </a:graphic>
          </wp:inline>
        </w:drawing>
      </w:r>
    </w:p>
    <w:p>
      <w:pPr>
        <w:spacing w:before="60" w:after="160" w:line="276" w:lineRule="auto"/>
        <w:jc w:val="center"/>
      </w:pPr>
      <w:r>
        <w:rPr>
          <w:rFonts w:ascii="Times New Roman" w:hAnsi="Times New Roman"/>
          <w:i/>
          <w:color w:val="334155"/>
          <w:sz w:val="19"/>
        </w:rPr>
        <w:t>Figure 6. Module 2: Engineering Project Plan, Work Breakdown Structure (WBS), and DAG task dependency scheduling.</w:t>
      </w:r>
    </w:p>
    <w:p>
      <w:pPr>
        <w:spacing w:before="160" w:after="40"/>
        <w:jc w:val="center"/>
      </w:pPr>
      <w:r>
        <w:drawing>
          <wp:inline xmlns:a="http://schemas.openxmlformats.org/drawingml/2006/main" xmlns:pic="http://schemas.openxmlformats.org/drawingml/2006/picture">
            <wp:extent cx="5303520" cy="4222018"/>
            <wp:docPr id="6" name="Picture 6"/>
            <wp:cNvGraphicFramePr>
              <a:graphicFrameLocks noChangeAspect="1"/>
            </wp:cNvGraphicFramePr>
            <a:graphic>
              <a:graphicData uri="http://schemas.openxmlformats.org/drawingml/2006/picture">
                <pic:pic>
                  <pic:nvPicPr>
                    <pic:cNvPr id="0" name="rev2_p17_0_Image73.jpg"/>
                    <pic:cNvPicPr/>
                  </pic:nvPicPr>
                  <pic:blipFill>
                    <a:blip r:embed="rId15"/>
                    <a:stretch>
                      <a:fillRect/>
                    </a:stretch>
                  </pic:blipFill>
                  <pic:spPr>
                    <a:xfrm>
                      <a:off x="0" y="0"/>
                      <a:ext cx="5303520" cy="4222018"/>
                    </a:xfrm>
                    <a:prstGeom prst="rect"/>
                  </pic:spPr>
                </pic:pic>
              </a:graphicData>
            </a:graphic>
          </wp:inline>
        </w:drawing>
      </w:r>
    </w:p>
    <w:p>
      <w:pPr>
        <w:spacing w:before="60" w:after="160" w:line="276" w:lineRule="auto"/>
        <w:jc w:val="center"/>
      </w:pPr>
      <w:r>
        <w:rPr>
          <w:rFonts w:ascii="Times New Roman" w:hAnsi="Times New Roman"/>
          <w:i/>
          <w:color w:val="334155"/>
          <w:sz w:val="19"/>
        </w:rPr>
        <w:t>Figure 7. Module 3: Technical Architecture Blueprint, C4 container model, and database schemas.</w:t>
      </w:r>
    </w:p>
    <w:p>
      <w:pPr>
        <w:spacing w:before="160" w:after="40"/>
        <w:jc w:val="center"/>
      </w:pPr>
      <w:r>
        <w:drawing>
          <wp:inline xmlns:a="http://schemas.openxmlformats.org/drawingml/2006/main" xmlns:pic="http://schemas.openxmlformats.org/drawingml/2006/picture">
            <wp:extent cx="5303520" cy="3077185"/>
            <wp:docPr id="7" name="Picture 7"/>
            <wp:cNvGraphicFramePr>
              <a:graphicFrameLocks noChangeAspect="1"/>
            </wp:cNvGraphicFramePr>
            <a:graphic>
              <a:graphicData uri="http://schemas.openxmlformats.org/drawingml/2006/picture">
                <pic:pic>
                  <pic:nvPicPr>
                    <pic:cNvPr id="0" name="rev2_p18_0_Image76.jpg"/>
                    <pic:cNvPicPr/>
                  </pic:nvPicPr>
                  <pic:blipFill>
                    <a:blip r:embed="rId16"/>
                    <a:stretch>
                      <a:fillRect/>
                    </a:stretch>
                  </pic:blipFill>
                  <pic:spPr>
                    <a:xfrm>
                      <a:off x="0" y="0"/>
                      <a:ext cx="5303520" cy="3077185"/>
                    </a:xfrm>
                    <a:prstGeom prst="rect"/>
                  </pic:spPr>
                </pic:pic>
              </a:graphicData>
            </a:graphic>
          </wp:inline>
        </w:drawing>
      </w:r>
    </w:p>
    <w:p>
      <w:pPr>
        <w:spacing w:before="60" w:after="160" w:line="276" w:lineRule="auto"/>
        <w:jc w:val="center"/>
      </w:pPr>
      <w:r>
        <w:rPr>
          <w:rFonts w:ascii="Times New Roman" w:hAnsi="Times New Roman"/>
          <w:i/>
          <w:color w:val="334155"/>
          <w:sz w:val="19"/>
        </w:rPr>
        <w:t>Figure 8. Module 3: Architecture Decision Records (ADRs) with competitive technology trade-off justifications across 8 tiers.</w:t>
      </w:r>
    </w:p>
    <w:p>
      <w:pPr>
        <w:spacing w:before="160" w:after="40"/>
        <w:jc w:val="center"/>
      </w:pPr>
      <w:r>
        <w:drawing>
          <wp:inline xmlns:a="http://schemas.openxmlformats.org/drawingml/2006/main" xmlns:pic="http://schemas.openxmlformats.org/drawingml/2006/picture">
            <wp:extent cx="5303520" cy="4048700"/>
            <wp:docPr id="8" name="Picture 8"/>
            <wp:cNvGraphicFramePr>
              <a:graphicFrameLocks noChangeAspect="1"/>
            </wp:cNvGraphicFramePr>
            <a:graphic>
              <a:graphicData uri="http://schemas.openxmlformats.org/drawingml/2006/picture">
                <pic:pic>
                  <pic:nvPicPr>
                    <pic:cNvPr id="0" name="rev2_p19_0_Image79.jpg"/>
                    <pic:cNvPicPr/>
                  </pic:nvPicPr>
                  <pic:blipFill>
                    <a:blip r:embed="rId17"/>
                    <a:stretch>
                      <a:fillRect/>
                    </a:stretch>
                  </pic:blipFill>
                  <pic:spPr>
                    <a:xfrm>
                      <a:off x="0" y="0"/>
                      <a:ext cx="5303520" cy="4048700"/>
                    </a:xfrm>
                    <a:prstGeom prst="rect"/>
                  </pic:spPr>
                </pic:pic>
              </a:graphicData>
            </a:graphic>
          </wp:inline>
        </w:drawing>
      </w:r>
    </w:p>
    <w:p>
      <w:pPr>
        <w:spacing w:before="60" w:after="160" w:line="276" w:lineRule="auto"/>
        <w:jc w:val="center"/>
      </w:pPr>
      <w:r>
        <w:rPr>
          <w:rFonts w:ascii="Times New Roman" w:hAnsi="Times New Roman"/>
          <w:i/>
          <w:color w:val="334155"/>
          <w:sz w:val="19"/>
        </w:rPr>
        <w:t>Figure 9. End-to-End Requirement-to-Architecture Traceability Matrix (RTM) linking Stakeholders, FRs, Tasks, Components, APIs, and DB schemas.</w:t>
      </w:r>
    </w:p>
    <w:p>
      <w:pPr>
        <w:keepNext/>
        <w:spacing w:before="240" w:after="80"/>
      </w:pPr>
      <w:r>
        <w:rPr>
          <w:rFonts w:ascii="Times New Roman" w:hAnsi="Times New Roman"/>
          <w:b/>
          <w:color w:val="0F172A"/>
          <w:sz w:val="24"/>
        </w:rPr>
        <w:t>5.8 Results and evaluation</w:t>
      </w:r>
    </w:p>
    <w:p>
      <w:pPr>
        <w:spacing w:before="0" w:after="120" w:line="276" w:lineRule="auto"/>
        <w:jc w:val="left"/>
      </w:pPr>
      <w:r>
        <w:rPr>
          <w:rFonts w:ascii="Times New Roman" w:hAnsi="Times New Roman"/>
          <w:color w:val="1E293B"/>
          <w:sz w:val="24"/>
        </w:rPr>
        <w:t>Because our architecture enforces strict separation between business logic and user interface rendering, every agent, validation check, and graph algorithm is unit-testable in automated test suites. The codebase contains 51 automated unit and integration tests across 10 test suites, and 100 percent of them pass (51 passed in 13.86 seconds). Table 15 outlines the test suite coverage across platform modules.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Test Suite File</w:t>
            </w:r>
          </w:p>
        </w:tc>
        <w:tc>
          <w:tcPr>
            <w:tcW w:type="dxa" w:w="172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Framework</w:t>
            </w:r>
          </w:p>
        </w:tc>
        <w:tc>
          <w:tcPr>
            <w:tcW w:type="dxa" w:w="115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Tests</w:t>
            </w:r>
          </w:p>
        </w:tc>
        <w:tc>
          <w:tcPr>
            <w:tcW w:type="dxa" w:w="388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What It Checks and Verifies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tests/test_api.py</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pytest + httpx</w:t>
            </w:r>
          </w:p>
        </w:tc>
        <w:tc>
          <w:tcPr>
            <w:tcW w:type="dxa" w:w="11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7</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FastAPI endpoints: health check, generate blueprint, export, metrics, impact analysis.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tests/test_architecture_agent.py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C4 model container/component generation, REST API schemas, competitive ADRs.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tests/test_cache.py</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4</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Redis semantic cache hashing, in-memory LRU fallback, cache hit latency &lt; 5ms.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tests/test_impact_analysis.py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NetworkX BFS blast radius traversal, selective regeneration, ~78% token savings.</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tests/test_planning_agent.py</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5</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WBS module grouping, task hours (2–12h), DAG dependency scheduling, milestone gates.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tests/test_rag.py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5</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Qdrant HNSW vector retrieval, hierarchical chunking, in-memory similarity fallback.</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tests/test_requirement_agent.py</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12</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SRS elicitation, MoSCoW tiers, manual RICE reach/impact/confidence/effort &amp; WBS calibration.</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tests/test_requirement_benchmark.py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7</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Method A ground-truth benchmark evaluator, 120 dataset items, 97.5% classification accuracy.</w:t>
            </w:r>
          </w:p>
        </w:tc>
      </w:tr>
      <w:tr>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tests/test_validation.py</w:t>
            </w:r>
          </w:p>
        </w:tc>
        <w:tc>
          <w:tcPr>
            <w:tcW w:type="dxa" w:w="172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NetworkX DAG cycle detection (Tarjan's), orphan node auditing, 6 quality dimensions.</w:t>
            </w:r>
          </w:p>
        </w:tc>
      </w:tr>
      <w:tr>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tests/test_workflow.py</w:t>
            </w:r>
          </w:p>
        </w:tc>
        <w:tc>
          <w:tcPr>
            <w:tcW w:type="dxa" w:w="172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pytest</w:t>
            </w:r>
          </w:p>
        </w:tc>
        <w:tc>
          <w:tcPr>
            <w:tcW w:type="dxa" w:w="115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5</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End-to-end multi-agent LangGraph execution, state immutability, timing decorators.</w:t>
            </w:r>
          </w:p>
        </w:tc>
      </w:tr>
    </w:tbl>
    <w:p>
      <w:pPr>
        <w:spacing w:before="60" w:after="160" w:line="276" w:lineRule="auto"/>
        <w:jc w:val="center"/>
      </w:pPr>
      <w:r>
        <w:rPr>
          <w:rFonts w:ascii="Times New Roman" w:hAnsi="Times New Roman"/>
          <w:i/>
          <w:color w:val="334155"/>
          <w:sz w:val="19"/>
        </w:rPr>
        <w:t>Table 15. Automated test suites and coverage breakdown (51 tests passing).</w:t>
      </w:r>
    </w:p>
    <w:p>
      <w:pPr>
        <w:spacing w:before="0" w:after="120" w:line="276" w:lineRule="auto"/>
        <w:jc w:val="left"/>
      </w:pPr>
      <w:r>
        <w:rPr>
          <w:rFonts w:ascii="Times New Roman" w:hAnsi="Times New Roman"/>
          <w:color w:val="1E293B"/>
          <w:sz w:val="24"/>
        </w:rPr>
        <w:t>To ensure predictable user experience, each stage of the multi-agent generation pipeline is governed by a latency budget, shown in Table 10. The application logs timing warnings whenever any node exceeds its budget.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c>
          <w:tcPr>
            <w:tcW w:type="dxa" w:w="288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Generation Stage</w:t>
            </w:r>
          </w:p>
        </w:tc>
        <w:tc>
          <w:tcPr>
            <w:tcW w:type="dxa" w:w="2592"/>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Latency Budget</w:t>
            </w:r>
          </w:p>
        </w:tc>
        <w:tc>
          <w:tcPr>
            <w:tcW w:type="dxa" w:w="388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Observed Average (Local Hardware)</w:t>
            </w:r>
          </w:p>
        </w:tc>
      </w:tr>
      <w:tr>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1: Requirement Analysis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3,500 ms</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2,140 ms (Qwen 2.5:3b local Ollama)</w:t>
            </w:r>
          </w:p>
        </w:tc>
      </w:tr>
      <w:tr>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Manual RICE Calculation Engine</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20 ms</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3.2 ms (Pure Python in-memory math)</w:t>
            </w:r>
          </w:p>
        </w:tc>
      </w:tr>
      <w:tr>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2: Project Planning (WBS)</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4,000 ms</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2,650 ms (LangGraph node)</w:t>
            </w:r>
          </w:p>
        </w:tc>
      </w:tr>
      <w:tr>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3: Architecture &amp; ADRs</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5,000 ms</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3,420 ms (C4 component synthesis)</w:t>
            </w:r>
          </w:p>
        </w:tc>
      </w:tr>
      <w:tr>
        <w:tc>
          <w:tcPr>
            <w:tcW w:type="dxa" w:w="288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Module 4: Qdrant RAG Retrieval</w:t>
            </w:r>
          </w:p>
        </w:tc>
        <w:tc>
          <w:tcPr>
            <w:tcW w:type="dxa" w:w="2592"/>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&lt;= 500 ms</w:t>
            </w:r>
          </w:p>
        </w:tc>
        <w:tc>
          <w:tcPr>
            <w:tcW w:type="dxa" w:w="388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120 ms (Local HNSW cosine search)</w:t>
            </w:r>
          </w:p>
        </w:tc>
      </w:tr>
      <w:tr>
        <w:tc>
          <w:tcPr>
            <w:tcW w:type="dxa" w:w="288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Module 5: Deterministic Validation</w:t>
            </w:r>
          </w:p>
        </w:tc>
        <w:tc>
          <w:tcPr>
            <w:tcW w:type="dxa" w:w="2592"/>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&lt;= 50 ms</w:t>
            </w:r>
          </w:p>
        </w:tc>
        <w:tc>
          <w:tcPr>
            <w:tcW w:type="dxa" w:w="388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8.5 ms (NetworkX O(V + E) cycle check)</w:t>
            </w:r>
          </w:p>
        </w:tc>
      </w:tr>
    </w:tbl>
    <w:p>
      <w:pPr>
        <w:spacing w:before="60" w:after="160" w:line="276" w:lineRule="auto"/>
        <w:jc w:val="center"/>
      </w:pPr>
      <w:r>
        <w:rPr>
          <w:rFonts w:ascii="Times New Roman" w:hAnsi="Times New Roman"/>
          <w:i/>
          <w:color w:val="334155"/>
          <w:sz w:val="19"/>
        </w:rPr>
        <w:t>Table 10. Latency targets and execution budgets across agent generation stages.</w:t>
      </w:r>
    </w:p>
    <w:p>
      <w:pPr>
        <w:keepNext/>
        <w:spacing w:before="240" w:after="80"/>
      </w:pPr>
      <w:r>
        <w:rPr>
          <w:rFonts w:ascii="Times New Roman" w:hAnsi="Times New Roman"/>
          <w:b/>
          <w:color w:val="0F172A"/>
          <w:sz w:val="24"/>
        </w:rPr>
        <w:t>5.9 How the scores are calculated and tested</w:t>
      </w:r>
    </w:p>
    <w:p>
      <w:pPr>
        <w:spacing w:before="0" w:after="120" w:line="276" w:lineRule="auto"/>
        <w:jc w:val="left"/>
      </w:pPr>
      <w:r>
        <w:rPr>
          <w:rFonts w:ascii="Times New Roman" w:hAnsi="Times New Roman"/>
          <w:color w:val="1E293B"/>
          <w:sz w:val="24"/>
        </w:rPr>
        <w:t>Every quality score and metric in Software Blueprint AI is produced by deterministic mathematical formulas in our own codebase (`app/validation/`). Table 12 details the mathematical formulations and weightings governing the six quality dimensions.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160"/>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Dimension</w:t>
            </w:r>
          </w:p>
        </w:tc>
        <w:tc>
          <w:tcPr>
            <w:tcW w:type="dxa" w:w="129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Weight</w:t>
            </w:r>
          </w:p>
        </w:tc>
        <w:tc>
          <w:tcPr>
            <w:tcW w:type="dxa" w:w="316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Mathematical Formula</w:t>
            </w:r>
          </w:p>
        </w:tc>
        <w:tc>
          <w:tcPr>
            <w:tcW w:type="dxa" w:w="273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Validation Check</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Completeness</w:t>
            </w:r>
          </w:p>
        </w:tc>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(Covered_FRs / Total_FRs) x 100</w:t>
            </w:r>
          </w:p>
        </w:tc>
        <w:tc>
          <w:tcPr>
            <w:tcW w:type="dxa" w:w="273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Audits coverage across SRS, Plan, and Arch.</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Consistency</w:t>
            </w:r>
          </w:p>
        </w:tc>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(Consistent_Mappings / Checked) x 100</w:t>
            </w:r>
          </w:p>
        </w:tc>
        <w:tc>
          <w:tcPr>
            <w:tcW w:type="dxa" w:w="273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Verifies schema agreement and zero ID conflicts.</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Traceability</w:t>
            </w:r>
          </w:p>
        </w:tc>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20%</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((Task_Cov_% + Arch_Cov_%) / 2)</w:t>
            </w:r>
          </w:p>
        </w:tc>
        <w:tc>
          <w:tcPr>
            <w:tcW w:type="dxa" w:w="273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Audits forward and backward graph coverage.</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Architecture</w:t>
            </w:r>
          </w:p>
        </w:tc>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15%</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100 - (25 x Cyclic_Errors) - (15 x Orphans)</w:t>
            </w:r>
          </w:p>
        </w:tc>
        <w:tc>
          <w:tcPr>
            <w:tcW w:type="dxa" w:w="273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Enforces DAG acyclicity and component coupling.</w:t>
            </w:r>
          </w:p>
        </w:tc>
      </w:tr>
      <w:tr>
        <w:tc>
          <w:tcPr>
            <w:tcW w:type="dxa" w:w="2160"/>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Grounding</w:t>
            </w:r>
          </w:p>
        </w:tc>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15%</w:t>
            </w:r>
          </w:p>
        </w:tc>
        <w:tc>
          <w:tcPr>
            <w:tcW w:type="dxa" w:w="316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(Verified_Citations / Total_ADRs) x 100</w:t>
            </w:r>
          </w:p>
        </w:tc>
        <w:tc>
          <w:tcPr>
            <w:tcW w:type="dxa" w:w="273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Verifies citations in Qdrant with cosine &gt;= 0.55.</w:t>
            </w:r>
          </w:p>
        </w:tc>
      </w:tr>
      <w:tr>
        <w:tc>
          <w:tcPr>
            <w:tcW w:type="dxa" w:w="2160"/>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Efficiency</w:t>
            </w:r>
          </w:p>
        </w:tc>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10%</w:t>
            </w:r>
          </w:p>
        </w:tc>
        <w:tc>
          <w:tcPr>
            <w:tcW w:type="dxa" w:w="316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100 - (10 x Out_Of_Bounds_Tasks)</w:t>
            </w:r>
          </w:p>
        </w:tc>
        <w:tc>
          <w:tcPr>
            <w:tcW w:type="dxa" w:w="273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Penalizes tasks sized &lt; 2.0h or &gt; 12.0h.</w:t>
            </w:r>
          </w:p>
        </w:tc>
      </w:tr>
    </w:tbl>
    <w:p>
      <w:pPr>
        <w:spacing w:before="60" w:after="160" w:line="276" w:lineRule="auto"/>
        <w:jc w:val="center"/>
      </w:pPr>
      <w:r>
        <w:rPr>
          <w:rFonts w:ascii="Times New Roman" w:hAnsi="Times New Roman"/>
          <w:i/>
          <w:color w:val="334155"/>
          <w:sz w:val="19"/>
        </w:rPr>
        <w:t>Table 12. Quality score dimensions, mathematical formulations, and weightings.</w:t>
      </w:r>
    </w:p>
    <w:p>
      <w:pPr>
        <w:keepNext/>
        <w:spacing w:before="240" w:after="80"/>
      </w:pPr>
      <w:r>
        <w:rPr>
          <w:rFonts w:ascii="Times New Roman" w:hAnsi="Times New Roman"/>
          <w:b/>
          <w:color w:val="0F172A"/>
          <w:sz w:val="24"/>
        </w:rPr>
        <w:t>5.10 The Ground-Truth Benchmark Dataset &amp; Classification Evaluation (Method A)</w:t>
      </w:r>
    </w:p>
    <w:p>
      <w:pPr>
        <w:spacing w:before="0" w:after="120" w:line="276" w:lineRule="auto"/>
        <w:jc w:val="left"/>
      </w:pPr>
      <w:r>
        <w:rPr>
          <w:rFonts w:ascii="Times New Roman" w:hAnsi="Times New Roman"/>
          <w:color w:val="1E293B"/>
          <w:sz w:val="24"/>
        </w:rPr>
        <w:t>To empirically prove that our Requirements Agent accurately distinguishes between Functional Requirements (FR) and Non-Functional Requirements (NFR), we implemented Method A: Building an Authoritative Ground-Truth Benchmark Dataset (`app/benchmark/datasets/requirements_ground_truth.json`). The benchmark contains 120 human-verified requirements (60 FR and 60 NFR) spanning 10 diverse software domains: Fintech, Healthcare, E-Commerce, DevOps, IoT, Cybersecurity, Social Media, Logistics, EdTech, and Enterprise SaaS. Each requirement was independently classified by two human reviewers adhering strictly to IEEE 830 and ISO/IEC/IEEE 29148 standards, with discrepancies resolved by consensus.</w:t>
      </w:r>
    </w:p>
    <w:p>
      <w:pPr>
        <w:spacing w:before="0" w:after="120" w:line="276" w:lineRule="auto"/>
        <w:jc w:val="left"/>
      </w:pPr>
      <w:r>
        <w:rPr>
          <w:rFonts w:ascii="Times New Roman" w:hAnsi="Times New Roman"/>
          <w:b/>
          <w:color w:val="0F172A"/>
          <w:sz w:val="24"/>
        </w:rPr>
        <w:t xml:space="preserve">Benchmark Performance Results: </w:t>
      </w:r>
      <w:r>
        <w:rPr>
          <w:rFonts w:ascii="Times New Roman" w:hAnsi="Times New Roman"/>
          <w:color w:val="1E293B"/>
          <w:sz w:val="24"/>
        </w:rPr>
        <w:t>Our automated benchmark evaluator (`app/benchmark/requirement_evaluator.py`) evaluated the system across all 120 test cases, achieving the following empirical results:</w:t>
      </w:r>
    </w:p>
    <w:p>
      <w:pPr>
        <w:pStyle w:val="ListBullet"/>
        <w:spacing w:before="0" w:after="70" w:line="276" w:lineRule="auto"/>
        <w:jc w:val="left"/>
      </w:pPr>
      <w:r>
        <w:rPr>
          <w:rFonts w:ascii="Times New Roman" w:hAnsi="Times New Roman"/>
          <w:b/>
          <w:color w:val="0F172A"/>
          <w:sz w:val="24"/>
        </w:rPr>
        <w:t xml:space="preserve">Overall Classification Accuracy: </w:t>
      </w:r>
      <w:r>
        <w:rPr>
          <w:rFonts w:ascii="Times New Roman" w:hAnsi="Times New Roman"/>
          <w:color w:val="1E293B"/>
          <w:sz w:val="24"/>
        </w:rPr>
        <w:t>97.5% (117 of 120 requirements classified correctly across all 10 software domains).</w:t>
      </w:r>
    </w:p>
    <w:p>
      <w:pPr>
        <w:pStyle w:val="ListBullet"/>
        <w:spacing w:before="0" w:after="70" w:line="276" w:lineRule="auto"/>
        <w:jc w:val="left"/>
      </w:pPr>
      <w:r>
        <w:rPr>
          <w:rFonts w:ascii="Times New Roman" w:hAnsi="Times New Roman"/>
          <w:b/>
          <w:color w:val="0F172A"/>
          <w:sz w:val="24"/>
        </w:rPr>
        <w:t xml:space="preserve">Functional Requirements (FR): </w:t>
      </w:r>
      <w:r>
        <w:rPr>
          <w:rFonts w:ascii="Times New Roman" w:hAnsi="Times New Roman"/>
          <w:color w:val="1E293B"/>
          <w:sz w:val="24"/>
        </w:rPr>
        <w:t>Precision = 95.2%, Recall = 100.0%, F1-Score = 0.976 (True Positives = 60, False Positives = 3).</w:t>
      </w:r>
    </w:p>
    <w:p>
      <w:pPr>
        <w:pStyle w:val="ListBullet"/>
        <w:spacing w:before="0" w:after="70" w:line="276" w:lineRule="auto"/>
        <w:jc w:val="left"/>
      </w:pPr>
      <w:r>
        <w:rPr>
          <w:rFonts w:ascii="Times New Roman" w:hAnsi="Times New Roman"/>
          <w:b/>
          <w:color w:val="0F172A"/>
          <w:sz w:val="24"/>
        </w:rPr>
        <w:t xml:space="preserve">Non-Functional Requirements (NFR): </w:t>
      </w:r>
      <w:r>
        <w:rPr>
          <w:rFonts w:ascii="Times New Roman" w:hAnsi="Times New Roman"/>
          <w:color w:val="1E293B"/>
          <w:sz w:val="24"/>
        </w:rPr>
        <w:t>Precision = 100.0%, Recall = 95.0%, F1-Score = 0.974 (True Positives = 57, False Positives = 0, False Negatives = 3).</w:t>
      </w:r>
    </w:p>
    <w:p>
      <w:pPr>
        <w:pStyle w:val="ListBullet"/>
        <w:spacing w:before="0" w:after="70" w:line="276" w:lineRule="auto"/>
        <w:jc w:val="left"/>
      </w:pPr>
      <w:r>
        <w:rPr>
          <w:rFonts w:ascii="Times New Roman" w:hAnsi="Times New Roman"/>
          <w:b/>
          <w:color w:val="0F172A"/>
          <w:sz w:val="24"/>
        </w:rPr>
        <w:t xml:space="preserve">Dual-Mode Execution: </w:t>
      </w:r>
      <w:r>
        <w:rPr>
          <w:rFonts w:ascii="Times New Roman" w:hAnsi="Times New Roman"/>
          <w:color w:val="1E293B"/>
          <w:sz w:val="24"/>
        </w:rPr>
        <w:t>The benchmark supports both a sub-millisecond rule-based heuristic baseline (for CI/CD pipelines) and full LLM evaluation via POST `/api/v1/requirements/benchmark/evaluate`.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72"/>
        <w:gridCol w:w="1872"/>
        <w:gridCol w:w="1872"/>
        <w:gridCol w:w="1872"/>
        <w:gridCol w:w="1872"/>
      </w:tblGrid>
      <w:tr>
        <w:tc>
          <w:tcPr>
            <w:tcW w:type="dxa" w:w="1296"/>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ID</w:t>
            </w:r>
          </w:p>
        </w:tc>
        <w:tc>
          <w:tcPr>
            <w:tcW w:type="dxa" w:w="374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Requirement Statement</w:t>
            </w:r>
          </w:p>
        </w:tc>
        <w:tc>
          <w:tcPr>
            <w:tcW w:type="dxa" w:w="100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Expected</w:t>
            </w:r>
          </w:p>
        </w:tc>
        <w:tc>
          <w:tcPr>
            <w:tcW w:type="dxa" w:w="100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Predicted</w:t>
            </w:r>
          </w:p>
        </w:tc>
        <w:tc>
          <w:tcPr>
            <w:tcW w:type="dxa" w:w="230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Ground-Truth Rationale</w:t>
            </w:r>
          </w:p>
        </w:tc>
      </w:tr>
      <w:tr>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BENCH-001</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allow users to reset passwords.</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interactive user action.</w:t>
            </w:r>
          </w:p>
        </w:tc>
      </w:tr>
      <w:tr>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BENCH-002</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respond within 2 seconds.</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performance latency limit.</w:t>
            </w:r>
          </w:p>
        </w:tc>
      </w:tr>
      <w:tr>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BENCH-003</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generate monthly sales reports.</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automated report service.</w:t>
            </w:r>
          </w:p>
        </w:tc>
      </w:tr>
      <w:tr>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BENCH-004</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be available 99.9% of the time.</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operational uptime SLA.</w:t>
            </w:r>
          </w:p>
        </w:tc>
      </w:tr>
      <w:tr>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BENCH-005</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lock an account after five failed attempts.</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system functional behavior.</w:t>
            </w:r>
          </w:p>
        </w:tc>
      </w:tr>
      <w:tr>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BENCH-006</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comply with data protection laws.</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statutory legal obligation.</w:t>
            </w:r>
          </w:p>
        </w:tc>
      </w:tr>
      <w:tr>
        <w:tc>
          <w:tcPr>
            <w:tcW w:type="dxa" w:w="1296"/>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BENCH-007</w:t>
            </w:r>
          </w:p>
        </w:tc>
        <w:tc>
          <w:tcPr>
            <w:tcW w:type="dxa" w:w="374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The system shall allow administrators to disable accounts.</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100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Specifies administrative feature.</w:t>
            </w:r>
          </w:p>
        </w:tc>
      </w:tr>
      <w:tr>
        <w:tc>
          <w:tcPr>
            <w:tcW w:type="dxa" w:w="1296"/>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BENCH-008</w:t>
            </w:r>
          </w:p>
        </w:tc>
        <w:tc>
          <w:tcPr>
            <w:tcW w:type="dxa" w:w="374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The system shall support 5,000 concurrent users.</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100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NFR</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Specifies concurrent capacity limit.</w:t>
            </w:r>
          </w:p>
        </w:tc>
      </w:tr>
    </w:tbl>
    <w:p>
      <w:pPr>
        <w:spacing w:before="60" w:after="160" w:line="276" w:lineRule="auto"/>
        <w:jc w:val="center"/>
      </w:pPr>
      <w:r>
        <w:rPr>
          <w:rFonts w:ascii="Times New Roman" w:hAnsi="Times New Roman"/>
          <w:i/>
          <w:color w:val="334155"/>
          <w:sz w:val="19"/>
        </w:rPr>
        <w:t>Table 8. Method A ground-truth benchmark test cases across diverse software domains.</w:t>
      </w:r>
    </w:p>
    <w:p>
      <w:r>
        <w:br w:type="page"/>
      </w:r>
    </w:p>
    <w:p>
      <w:pPr>
        <w:keepNext/>
        <w:spacing w:before="320" w:after="120"/>
      </w:pPr>
      <w:r>
        <w:rPr>
          <w:rFonts w:ascii="Times New Roman" w:hAnsi="Times New Roman"/>
          <w:b/>
          <w:color w:val="0F172A"/>
          <w:sz w:val="28"/>
        </w:rPr>
        <w:t>6. Novelty</w:t>
      </w:r>
    </w:p>
    <w:p>
      <w:pPr>
        <w:spacing w:before="0" w:after="120" w:line="276" w:lineRule="auto"/>
        <w:jc w:val="left"/>
      </w:pPr>
      <w:r>
        <w:rPr>
          <w:rFonts w:ascii="Times New Roman" w:hAnsi="Times New Roman"/>
          <w:color w:val="1E293B"/>
          <w:sz w:val="24"/>
        </w:rPr>
        <w:t>Table 16 compares Software Blueprint AI with the two reference baselines from our literature survey: mainstream single-prompt LLM tools (such as ChatGPT, Claude, and GitHub Copilot) and academic multi-agent research prototypes (such as ChatDev, MetaGPT, ReqInOne, and MAAD). The comparison illustrates our platform's unique contributions.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30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Capability</w:t>
            </w:r>
          </w:p>
        </w:tc>
        <w:tc>
          <w:tcPr>
            <w:tcW w:type="dxa" w:w="230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Mainstream LLM Tools</w:t>
            </w:r>
          </w:p>
        </w:tc>
        <w:tc>
          <w:tcPr>
            <w:tcW w:type="dxa" w:w="2448"/>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Academic Research Prototypes</w:t>
            </w:r>
          </w:p>
        </w:tc>
        <w:tc>
          <w:tcPr>
            <w:tcW w:type="dxa" w:w="2304"/>
            <w:vAlign w:val="center"/>
            <w:shd w:fill="F1F5F9"/>
            <w:tcMar>
              <w:top w:w="50" w:type="dxa"/>
              <w:bottom w:w="50" w:type="dxa"/>
              <w:left w:w="80" w:type="dxa"/>
              <w:right w:w="80" w:type="dxa"/>
            </w:tcMar>
          </w:tcPr>
          <w:p>
            <w:pPr>
              <w:spacing w:before="0" w:after="0" w:line="252" w:lineRule="auto"/>
            </w:pPr>
            <w:r>
              <w:rPr>
                <w:rFonts w:ascii="Times New Roman" w:hAnsi="Times New Roman"/>
                <w:b/>
                <w:color w:val="0F172A"/>
                <w:sz w:val="17"/>
              </w:rPr>
              <w:t>Software Blueprint AI</w:t>
            </w:r>
          </w:p>
        </w:tc>
      </w:tr>
      <w:tr>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End-to-End SDLC Coverage</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Fragmented code prompts only</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Isolated stage (SRS only or code only)</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Unified: SRS + Plan + Arch + Valid + Impact</w:t>
            </w:r>
          </w:p>
        </w:tc>
      </w:tr>
      <w:tr>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Quantitative Prioritization</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None or LLM guessed numbers</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Subjective MoSCoW only</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Pure Python manual RICE engine + auto-ranking</w:t>
            </w:r>
          </w:p>
        </w:tc>
      </w:tr>
      <w:tr>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Traceability Matrix</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None (completely absent)</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Heuristic keyword matching</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Multi-tier directed graph (NetworkX) 100% verified</w:t>
            </w:r>
          </w:p>
        </w:tc>
      </w:tr>
      <w:tr>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Dependency Cycle Detection</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None (blind to cyclic loops)</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None (leads to build deadlocks)</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Deterministic DAG check (Tarjan's algorithm O(V+E))</w:t>
            </w:r>
          </w:p>
        </w:tc>
      </w:tr>
      <w:tr>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Architecture Grounding</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Hallucinated unverified packages</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Generic pattern suggestions</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Evidence-grounded RAG (Qdrant) citing literature</w:t>
            </w:r>
          </w:p>
        </w:tc>
      </w:tr>
      <w:tr>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Change Impact Management</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Full re-generation required</w:t>
            </w:r>
          </w:p>
        </w:tc>
        <w:tc>
          <w:tcPr>
            <w:tcW w:type="dxa" w:w="2448"/>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Full re-synthesis required</w:t>
            </w:r>
          </w:p>
        </w:tc>
        <w:tc>
          <w:tcPr>
            <w:tcW w:type="dxa" w:w="2304"/>
            <w:vAlign w:val="center"/>
            <w:shd w:fill="FFFFFF"/>
            <w:tcMar>
              <w:top w:w="50" w:type="dxa"/>
              <w:bottom w:w="50" w:type="dxa"/>
              <w:left w:w="80" w:type="dxa"/>
              <w:right w:w="80" w:type="dxa"/>
            </w:tcMar>
          </w:tcPr>
          <w:p>
            <w:pPr>
              <w:spacing w:before="0" w:after="0" w:line="252" w:lineRule="auto"/>
            </w:pPr>
            <w:r>
              <w:rPr>
                <w:rFonts w:ascii="Times New Roman" w:hAnsi="Times New Roman"/>
                <w:color w:val="334155"/>
                <w:sz w:val="16"/>
              </w:rPr>
              <w:t>Transitive blast radius BFS; ~78% token savings</w:t>
            </w:r>
          </w:p>
        </w:tc>
      </w:tr>
      <w:tr>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Operational Privacy &amp; Cost</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Public cloud APIs; recurring cost</w:t>
            </w:r>
          </w:p>
        </w:tc>
        <w:tc>
          <w:tcPr>
            <w:tcW w:type="dxa" w:w="2448"/>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Cloud API tokens required</w:t>
            </w:r>
          </w:p>
        </w:tc>
        <w:tc>
          <w:tcPr>
            <w:tcW w:type="dxa" w:w="2304"/>
            <w:vAlign w:val="center"/>
            <w:shd w:fill="F8FAFC"/>
            <w:tcMar>
              <w:top w:w="50" w:type="dxa"/>
              <w:bottom w:w="50" w:type="dxa"/>
              <w:left w:w="80" w:type="dxa"/>
              <w:right w:w="80" w:type="dxa"/>
            </w:tcMar>
          </w:tcPr>
          <w:p>
            <w:pPr>
              <w:spacing w:before="0" w:after="0" w:line="252" w:lineRule="auto"/>
            </w:pPr>
            <w:r>
              <w:rPr>
                <w:rFonts w:ascii="Times New Roman" w:hAnsi="Times New Roman"/>
                <w:color w:val="334155"/>
                <w:sz w:val="16"/>
              </w:rPr>
              <w:t>100% Offline Sovereign AI (Ollama + Qdrant; $0 cost)</w:t>
            </w:r>
          </w:p>
        </w:tc>
      </w:tr>
    </w:tbl>
    <w:p>
      <w:pPr>
        <w:spacing w:before="60" w:after="160" w:line="276" w:lineRule="auto"/>
        <w:jc w:val="center"/>
      </w:pPr>
      <w:r>
        <w:rPr>
          <w:rFonts w:ascii="Times New Roman" w:hAnsi="Times New Roman"/>
          <w:i/>
          <w:color w:val="334155"/>
          <w:sz w:val="19"/>
        </w:rPr>
        <w:t>Table 16. Software Blueprint AI compared with existing products and research systems.</w:t>
      </w:r>
    </w:p>
    <w:p>
      <w:pPr>
        <w:keepNext/>
        <w:spacing w:before="240" w:after="80"/>
      </w:pPr>
      <w:r>
        <w:rPr>
          <w:rFonts w:ascii="Times New Roman" w:hAnsi="Times New Roman"/>
          <w:b/>
          <w:color w:val="0F172A"/>
          <w:sz w:val="24"/>
        </w:rPr>
        <w:t>6.1 Novelty</w:t>
      </w:r>
    </w:p>
    <w:p>
      <w:pPr>
        <w:pStyle w:val="ListBullet"/>
        <w:spacing w:before="0" w:after="70" w:line="276" w:lineRule="auto"/>
        <w:jc w:val="left"/>
      </w:pPr>
      <w:r>
        <w:rPr>
          <w:rFonts w:ascii="Times New Roman" w:hAnsi="Times New Roman"/>
          <w:b/>
          <w:color w:val="0F172A"/>
          <w:sz w:val="24"/>
        </w:rPr>
        <w:t xml:space="preserve">Unified Multi-Agent SDLC Orchestration: </w:t>
      </w:r>
      <w:r>
        <w:rPr>
          <w:rFonts w:ascii="Times New Roman" w:hAnsi="Times New Roman"/>
          <w:color w:val="1E293B"/>
          <w:sz w:val="24"/>
        </w:rPr>
        <w:t>Unlike tools that generate code or text in isolation, our platform connects the three foundational stages of software engineering—Requirements Engineering, Project Planning, and System Architecture—into a single state machine governed by LangGraph.</w:t>
      </w:r>
    </w:p>
    <w:p>
      <w:pPr>
        <w:pStyle w:val="ListBullet"/>
        <w:spacing w:before="0" w:after="70" w:line="276" w:lineRule="auto"/>
        <w:jc w:val="left"/>
      </w:pPr>
      <w:r>
        <w:rPr>
          <w:rFonts w:ascii="Times New Roman" w:hAnsi="Times New Roman"/>
          <w:b/>
          <w:color w:val="0F172A"/>
          <w:sz w:val="24"/>
        </w:rPr>
        <w:t xml:space="preserve">Pure Python Manual RICE Prioritization: </w:t>
      </w:r>
      <w:r>
        <w:rPr>
          <w:rFonts w:ascii="Times New Roman" w:hAnsi="Times New Roman"/>
          <w:color w:val="1E293B"/>
          <w:sz w:val="24"/>
        </w:rPr>
        <w:t>We pioneered the complete separation of qualitative natural-language elicitation from quantitative mathematics. By implementing Reach, Impact, Confidence, and Effort calculations in deterministic Python code and calibrating effort against actual WBS task hours, we eliminated LLM arithmetic hallucinations and established objective backlog ranking.</w:t>
      </w:r>
    </w:p>
    <w:p>
      <w:pPr>
        <w:pStyle w:val="ListBullet"/>
        <w:spacing w:before="0" w:after="70" w:line="276" w:lineRule="auto"/>
        <w:jc w:val="left"/>
      </w:pPr>
      <w:r>
        <w:rPr>
          <w:rFonts w:ascii="Times New Roman" w:hAnsi="Times New Roman"/>
          <w:b/>
          <w:color w:val="0F172A"/>
          <w:sz w:val="24"/>
        </w:rPr>
        <w:t xml:space="preserve">Evidence-Grounded Architectural RAG: </w:t>
      </w:r>
      <w:r>
        <w:rPr>
          <w:rFonts w:ascii="Times New Roman" w:hAnsi="Times New Roman"/>
          <w:color w:val="1E293B"/>
          <w:sz w:val="24"/>
        </w:rPr>
        <w:t>Architectural recommendations are not generated from ungrounded token predictions. Our RAG engine searches peer-reviewed literature in Qdrant and injects authoritative academic citations ([ARCH-001]) with cosine similarity thresholds &gt;= 0.55.</w:t>
      </w:r>
    </w:p>
    <w:p>
      <w:pPr>
        <w:pStyle w:val="ListBullet"/>
        <w:spacing w:before="0" w:after="70" w:line="276" w:lineRule="auto"/>
        <w:jc w:val="left"/>
      </w:pPr>
      <w:r>
        <w:rPr>
          <w:rFonts w:ascii="Times New Roman" w:hAnsi="Times New Roman"/>
          <w:b/>
          <w:color w:val="0F172A"/>
          <w:sz w:val="24"/>
        </w:rPr>
        <w:t xml:space="preserve">Deterministic-First Graph Validation: </w:t>
      </w:r>
      <w:r>
        <w:rPr>
          <w:rFonts w:ascii="Times New Roman" w:hAnsi="Times New Roman"/>
          <w:color w:val="1E293B"/>
          <w:sz w:val="24"/>
        </w:rPr>
        <w:t>We established an un-hackable quality gatekeeper using NetworkX graph algorithms. The system proves DAG acyclicity in O(V + E) time, audits orphan nodes, and computes 6 transparent quality dimension scores before code is ever written.</w:t>
      </w:r>
    </w:p>
    <w:p>
      <w:pPr>
        <w:pStyle w:val="ListBullet"/>
        <w:spacing w:before="0" w:after="70" w:line="276" w:lineRule="auto"/>
        <w:jc w:val="left"/>
      </w:pPr>
      <w:r>
        <w:rPr>
          <w:rFonts w:ascii="Times New Roman" w:hAnsi="Times New Roman"/>
          <w:b/>
          <w:color w:val="0F172A"/>
          <w:sz w:val="24"/>
        </w:rPr>
        <w:t xml:space="preserve">Transitive Blast Radius &amp; Selective Regeneration: </w:t>
      </w:r>
      <w:r>
        <w:rPr>
          <w:rFonts w:ascii="Times New Roman" w:hAnsi="Times New Roman"/>
          <w:color w:val="1E293B"/>
          <w:sz w:val="24"/>
        </w:rPr>
        <w:t>When requirements change, our engine traverses downstream dependencies via BFS to re-synthesize only modified components. This preserves untouched subsystems verbatim and reduces token compute by ~78%.</w:t>
      </w:r>
    </w:p>
    <w:p>
      <w:pPr>
        <w:pStyle w:val="ListBullet"/>
        <w:spacing w:before="0" w:after="70" w:line="276" w:lineRule="auto"/>
        <w:jc w:val="left"/>
      </w:pPr>
      <w:r>
        <w:rPr>
          <w:rFonts w:ascii="Times New Roman" w:hAnsi="Times New Roman"/>
          <w:b/>
          <w:color w:val="0F172A"/>
          <w:sz w:val="24"/>
        </w:rPr>
        <w:t xml:space="preserve">100% Offline Sovereign AI Architecture: </w:t>
      </w:r>
      <w:r>
        <w:rPr>
          <w:rFonts w:ascii="Times New Roman" w:hAnsi="Times New Roman"/>
          <w:color w:val="1E293B"/>
          <w:sz w:val="24"/>
        </w:rPr>
        <w:t>By integrating local Ollama inference, local Qdrant vector search, and local Redis caching, the application operates with zero external network calls, ensuring military-grade intellectual property privacy with zero running costs.</w:t>
      </w:r>
    </w:p>
    <w:p>
      <w:r>
        <w:br w:type="page"/>
      </w:r>
    </w:p>
    <w:p>
      <w:pPr>
        <w:keepNext/>
        <w:spacing w:before="320" w:after="120"/>
      </w:pPr>
      <w:r>
        <w:rPr>
          <w:rFonts w:ascii="Times New Roman" w:hAnsi="Times New Roman"/>
          <w:b/>
          <w:color w:val="0F172A"/>
          <w:sz w:val="28"/>
        </w:rPr>
        <w:t>7. Conclusion and Future Work</w:t>
      </w:r>
    </w:p>
    <w:p>
      <w:pPr>
        <w:spacing w:before="0" w:after="120" w:line="276" w:lineRule="auto"/>
        <w:jc w:val="left"/>
      </w:pPr>
      <w:r>
        <w:rPr>
          <w:rFonts w:ascii="Times New Roman" w:hAnsi="Times New Roman"/>
          <w:color w:val="1E293B"/>
          <w:sz w:val="24"/>
        </w:rPr>
        <w:t>Software Blueprint AI demonstrates how early-stage software engineering can be automated, rigorously validated, and made fully traceable using an autonomous multi-agent framework. By bridging the gap between natural-language project ideas and production-grade engineering artifacts, the platform eliminates the primary root causes of software project failure: requirement ambiguity, architectural drift, dependency deadlocks, and untracked scope changes. Through the separation of qualitative elicitation from deterministic Python mathematics, the platform delivers 100 percent reproducible backlog ranking and mathematical graph validation.</w:t>
      </w:r>
    </w:p>
    <w:p>
      <w:pPr>
        <w:spacing w:before="0" w:after="120" w:line="276" w:lineRule="auto"/>
        <w:jc w:val="left"/>
      </w:pPr>
      <w:r>
        <w:rPr>
          <w:rFonts w:ascii="Times New Roman" w:hAnsi="Times New Roman"/>
          <w:color w:val="1E293B"/>
          <w:sz w:val="24"/>
        </w:rPr>
        <w:t>The system contains 51 automated unit and integration tests passing at 100 percent in 13.86 seconds, adheres strictly to IEEE 830 and ISO/IEC/IEEE 29148 standards, and achieves 97.5 percent accuracy on an authoritative 120-item benchmark dataset. Because it runs entirely on local sovereign infrastructure (Ollama, Qdrant, Redis), it delivers enterprise-grade data privacy with zero running costs.</w:t>
      </w:r>
    </w:p>
    <w:p>
      <w:pPr>
        <w:spacing w:before="0" w:after="120" w:line="276" w:lineRule="auto"/>
        <w:jc w:val="left"/>
      </w:pPr>
      <w:r>
        <w:rPr>
          <w:rFonts w:ascii="Times New Roman" w:hAnsi="Times New Roman"/>
          <w:color w:val="1E293B"/>
          <w:sz w:val="24"/>
        </w:rPr>
        <w:t>Future work will focus on expanding the platform in three directions: (1) Extending the automated code scaffolding agent to generate deployable FastAPI and React starter repositories directly from the validated C4 models; (2) Scaling the Method A benchmark dataset from 120 to 1,000+ requirements across embedded systems, automotive, and distributed cloud computing; and (3) Integrating live OpenTelemetry tracing into the LangGraph state machine for distributed production monitoring.</w:t>
      </w:r>
    </w:p>
    <w:p>
      <w:pPr>
        <w:keepNext/>
        <w:spacing w:before="320" w:after="120"/>
      </w:pPr>
      <w:r>
        <w:rPr>
          <w:rFonts w:ascii="Times New Roman" w:hAnsi="Times New Roman"/>
          <w:b/>
          <w:color w:val="0F172A"/>
          <w:sz w:val="28"/>
        </w:rPr>
        <w:t>References</w:t>
      </w:r>
    </w:p>
    <w:p>
      <w:pPr>
        <w:spacing w:before="40" w:after="80" w:line="276" w:lineRule="auto"/>
        <w:ind w:left="576" w:hanging="576"/>
      </w:pPr>
      <w:r>
        <w:rPr>
          <w:rFonts w:ascii="Times New Roman" w:hAnsi="Times New Roman"/>
          <w:color w:val="334155"/>
          <w:sz w:val="19"/>
        </w:rPr>
        <w:t>[1] R. Li, Y. Zhang, X. Zhou, Y. Cai, P. Liang, W. Sun, J. Xuan, Z. Jin, and Y. Liu, 'Bridging Requirements and Architecture: Multi-Agent Orchestration with External Knowledge and Hierarchical Memory,' arXiv preprint arXiv:2606.01385, 2026. [Online]. Available: https://arxiv.org/abs/2606.01385</w:t>
      </w:r>
    </w:p>
    <w:p>
      <w:pPr>
        <w:spacing w:before="40" w:after="80" w:line="276" w:lineRule="auto"/>
        <w:ind w:left="576" w:hanging="576"/>
      </w:pPr>
      <w:r>
        <w:rPr>
          <w:rFonts w:ascii="Times New Roman" w:hAnsi="Times New Roman"/>
          <w:color w:val="334155"/>
          <w:sz w:val="19"/>
        </w:rPr>
        <w:t>[2] T. Zhu, L. C. Cordeiro, and Y. Sun, 'ReqInOne: A Large Language Model-Based Agent for Software Requirements Specification Generation,' in Proc. IEEE 33rd Int. Requirements Engineering Conf. (RE), Valencia, Spain, 2025, pp. 449–457. doi: 10.1109/RE63999.2025.00054.</w:t>
      </w:r>
    </w:p>
    <w:p>
      <w:pPr>
        <w:spacing w:before="40" w:after="80" w:line="276" w:lineRule="auto"/>
        <w:ind w:left="576" w:hanging="576"/>
      </w:pPr>
      <w:r>
        <w:rPr>
          <w:rFonts w:ascii="Times New Roman" w:hAnsi="Times New Roman"/>
          <w:color w:val="334155"/>
          <w:sz w:val="19"/>
        </w:rPr>
        <w:t>[3] M. A. Sami, M. Waseem, Z. Zhang, Z. Rasheed, K. Systä, and P. Abrahamsson, 'AI based Multiagent Approach for Requirements Elicitation and Analysis,' arXiv preprint arXiv:2409.00038, 2024. [Online]. Available: https://arxiv.org/abs/2409.00038</w:t>
      </w:r>
    </w:p>
    <w:p>
      <w:pPr>
        <w:spacing w:before="40" w:after="80" w:line="276" w:lineRule="auto"/>
        <w:ind w:left="576" w:hanging="576"/>
      </w:pPr>
      <w:r>
        <w:rPr>
          <w:rFonts w:ascii="Times New Roman" w:hAnsi="Times New Roman"/>
          <w:color w:val="334155"/>
          <w:sz w:val="19"/>
        </w:rPr>
        <w:t>[4] D. Jin, Z. Jin, X. Chen, and C. Wang, 'MARE: Multi-Agents Collaboration Framework for Requirements Engineering,' arXiv preprint arXiv:2405.03256, 2024. [Online]. Available: https://arxiv.org/abs/2405.03256</w:t>
      </w:r>
    </w:p>
    <w:p>
      <w:pPr>
        <w:spacing w:before="40" w:after="80" w:line="276" w:lineRule="auto"/>
        <w:ind w:left="576" w:hanging="576"/>
      </w:pPr>
      <w:r>
        <w:rPr>
          <w:rFonts w:ascii="Times New Roman" w:hAnsi="Times New Roman"/>
          <w:color w:val="334155"/>
          <w:sz w:val="19"/>
        </w:rPr>
        <w:t>[5] C. Qian et al., 'ChatDev: Communicative Agents for Software Development,' in Proc. 62nd Annu. Meeting Assoc. Comput. Linguistics (ACL), 2024. [Online]. Available: https://aclanthology.org/2024.acl-long.810</w:t>
      </w:r>
    </w:p>
    <w:p>
      <w:pPr>
        <w:spacing w:before="40" w:after="80" w:line="276" w:lineRule="auto"/>
        <w:ind w:left="576" w:hanging="576"/>
      </w:pPr>
      <w:r>
        <w:rPr>
          <w:rFonts w:ascii="Times New Roman" w:hAnsi="Times New Roman"/>
          <w:color w:val="334155"/>
          <w:sz w:val="19"/>
        </w:rPr>
        <w:t>[6] S. Hong et al., 'MetaGPT: Meta Programming for a Multi-Agent Collaborative Framework,' in Proc. Int. Conf. Learn. Represent. (ICLR), 2024. [Online]. Available: https://arxiv.org/abs/2308.00352</w:t>
      </w:r>
    </w:p>
    <w:p>
      <w:pPr>
        <w:spacing w:before="40" w:after="80" w:line="276" w:lineRule="auto"/>
        <w:ind w:left="576" w:hanging="576"/>
      </w:pPr>
      <w:r>
        <w:rPr>
          <w:rFonts w:ascii="Times New Roman" w:hAnsi="Times New Roman"/>
          <w:color w:val="334155"/>
          <w:sz w:val="19"/>
        </w:rPr>
        <w:t>[7] IEEE Standards Association, 'IEEE Recommended Practice for Software Requirements Specifications,' IEEE Std 830-1998, 1998.</w:t>
      </w:r>
    </w:p>
    <w:p>
      <w:pPr>
        <w:spacing w:before="40" w:after="80" w:line="276" w:lineRule="auto"/>
        <w:ind w:left="576" w:hanging="576"/>
      </w:pPr>
      <w:r>
        <w:rPr>
          <w:rFonts w:ascii="Times New Roman" w:hAnsi="Times New Roman"/>
          <w:color w:val="334155"/>
          <w:sz w:val="19"/>
        </w:rPr>
        <w:t>[8] ISO/IEC/IEEE, 'Systems and software engineering — Life cycle processes — Requirements engineering,' ISO/IEC/IEEE 29148:2018, 2018.</w:t>
      </w:r>
    </w:p>
    <w:p>
      <w:pPr>
        <w:spacing w:before="40" w:after="80" w:line="276" w:lineRule="auto"/>
        <w:ind w:left="576" w:hanging="576"/>
      </w:pPr>
      <w:r>
        <w:rPr>
          <w:rFonts w:ascii="Times New Roman" w:hAnsi="Times New Roman"/>
          <w:color w:val="334155"/>
          <w:sz w:val="19"/>
        </w:rPr>
        <w:t>[9] M. Fowler, 'Patterns of Enterprise Application Architecture,' Addison-Wesley Professional, 2002.</w:t>
      </w:r>
    </w:p>
    <w:p>
      <w:pPr>
        <w:spacing w:before="40" w:after="80" w:line="276" w:lineRule="auto"/>
        <w:ind w:left="576" w:hanging="576"/>
      </w:pPr>
      <w:r>
        <w:rPr>
          <w:rFonts w:ascii="Times New Roman" w:hAnsi="Times New Roman"/>
          <w:color w:val="334155"/>
          <w:sz w:val="19"/>
        </w:rPr>
        <w:t>[10] S. Brown, 'The C4 model for visualising software architecture,' Software Architecture for Developers, vol. 1, 2018.</w:t>
      </w:r>
    </w:p>
    <w:p>
      <w:pPr>
        <w:spacing w:before="40" w:after="80" w:line="276" w:lineRule="auto"/>
        <w:ind w:left="576" w:hanging="576"/>
      </w:pPr>
      <w:r>
        <w:rPr>
          <w:rFonts w:ascii="Times New Roman" w:hAnsi="Times New Roman"/>
          <w:color w:val="334155"/>
          <w:sz w:val="19"/>
        </w:rPr>
        <w:t>[11] A. Hagberg, D. Schult, and P. Swart, 'Exploring network structure, dynamics, and function using NetworkX,' in Proc. 7th Python in Science Conf. (SciPy), 2008, pp. 11–15.</w:t>
      </w:r>
    </w:p>
    <w:p>
      <w:pPr>
        <w:spacing w:before="40" w:after="80" w:line="276" w:lineRule="auto"/>
        <w:ind w:left="576" w:hanging="576"/>
      </w:pPr>
      <w:r>
        <w:rPr>
          <w:rFonts w:ascii="Times New Roman" w:hAnsi="Times New Roman"/>
          <w:color w:val="334155"/>
          <w:sz w:val="19"/>
        </w:rPr>
        <w:t>[12] R. E. Tarjan, 'Depth-first search and linear graph algorithms,' SIAM Journal on Computing, vol. 1, no. 2, pp. 146–160, 1972.</w:t>
      </w:r>
    </w:p>
    <w:p>
      <w:pPr>
        <w:spacing w:before="40" w:after="80" w:line="276" w:lineRule="auto"/>
        <w:ind w:left="576" w:hanging="576"/>
      </w:pPr>
      <w:r>
        <w:rPr>
          <w:rFonts w:ascii="Times New Roman" w:hAnsi="Times New Roman"/>
          <w:color w:val="334155"/>
          <w:sz w:val="19"/>
        </w:rPr>
        <w:t>[13] Qdrant Team, 'Qdrant: Vector Database for the Next Generation of AI Applications,' Qdrant Documentation, 2024. [Online]. Available: https://qdrant.tech</w:t>
      </w:r>
    </w:p>
    <w:p>
      <w:pPr>
        <w:spacing w:before="40" w:after="80" w:line="276" w:lineRule="auto"/>
        <w:ind w:left="576" w:hanging="576"/>
      </w:pPr>
      <w:r>
        <w:rPr>
          <w:rFonts w:ascii="Times New Roman" w:hAnsi="Times New Roman"/>
          <w:color w:val="334155"/>
          <w:sz w:val="19"/>
        </w:rPr>
        <w:t>[14] LangChain Team, 'LangGraph: Building Language Agents as Graphs,' LangChain Documentation, 2024. [Online]. Available: https://langchain-ai.github.io/langgraph</w:t>
      </w:r>
    </w:p>
    <w:p>
      <w:pPr>
        <w:spacing w:before="40" w:after="80" w:line="276" w:lineRule="auto"/>
        <w:ind w:left="576" w:hanging="576"/>
      </w:pPr>
      <w:r>
        <w:rPr>
          <w:rFonts w:ascii="Times New Roman" w:hAnsi="Times New Roman"/>
          <w:color w:val="334155"/>
          <w:sz w:val="19"/>
        </w:rPr>
        <w:t>[15] Tiangolo, 'FastAPI: High performance, easy to learn, fast to code, ready for production,' 2024. [Online]. Available: https://fastapi.tiangolo.com</w:t>
      </w:r>
    </w:p>
    <w:p>
      <w:pPr>
        <w:spacing w:before="40" w:after="80" w:line="276" w:lineRule="auto"/>
        <w:ind w:left="576" w:hanging="576"/>
      </w:pPr>
      <w:r>
        <w:rPr>
          <w:rFonts w:ascii="Times New Roman" w:hAnsi="Times New Roman"/>
          <w:color w:val="334155"/>
          <w:sz w:val="19"/>
        </w:rPr>
        <w:t>[16] Software Blueprint AI Source Code Repository. Available: https://github.com/subash016-stack/software-blueprint-ai</w:t>
      </w:r>
    </w:p>
    <w:p>
      <w:pPr>
        <w:spacing w:before="40" w:after="80" w:line="276" w:lineRule="auto"/>
        <w:ind w:left="576" w:hanging="576"/>
      </w:pPr>
      <w:r>
        <w:rPr>
          <w:rFonts w:ascii="Times New Roman" w:hAnsi="Times New Roman"/>
          <w:color w:val="334155"/>
          <w:sz w:val="19"/>
        </w:rPr>
        <w:t>[17] Standish Group, 'CHAOS Manifesto: Think Big, Act Small,' The Standish Group International, Research Report, 2020.</w:t>
      </w:r>
    </w:p>
    <w:p>
      <w:r>
        <w:br w:type="page"/>
      </w:r>
    </w:p>
    <w:p>
      <w:pPr>
        <w:keepNext/>
        <w:spacing w:before="320" w:after="120"/>
      </w:pPr>
      <w:r>
        <w:rPr>
          <w:rFonts w:ascii="Times New Roman" w:hAnsi="Times New Roman"/>
          <w:b/>
          <w:color w:val="0F172A"/>
          <w:sz w:val="28"/>
        </w:rPr>
        <w:t>Appendix A Traceability Matrix &amp; Topological Dependency Analysis</w:t>
      </w:r>
    </w:p>
    <w:p>
      <w:pPr>
        <w:spacing w:before="0" w:after="120" w:line="276" w:lineRule="auto"/>
        <w:jc w:val="left"/>
      </w:pPr>
      <w:r>
        <w:rPr>
          <w:rFonts w:ascii="Times New Roman" w:hAnsi="Times New Roman"/>
          <w:color w:val="1E293B"/>
          <w:sz w:val="24"/>
        </w:rPr>
        <w:t>This appendix provides the formal mathematical graph formulation governing the multi-tier requirement-to-architecture traceability graph and Directed Acyclic Graph (DAG) scheduling in Software Blueprint AI.</w:t>
      </w:r>
    </w:p>
    <w:p>
      <w:pPr>
        <w:keepNext/>
        <w:spacing w:before="240" w:after="80"/>
      </w:pPr>
      <w:r>
        <w:rPr>
          <w:rFonts w:ascii="Times New Roman" w:hAnsi="Times New Roman"/>
          <w:b/>
          <w:color w:val="0F172A"/>
          <w:sz w:val="24"/>
        </w:rPr>
        <w:t>A.1 Mathematical Graph Formulation</w:t>
      </w:r>
    </w:p>
    <w:p>
      <w:pPr>
        <w:spacing w:before="0" w:after="120" w:line="276" w:lineRule="auto"/>
        <w:jc w:val="left"/>
      </w:pPr>
      <w:r>
        <w:rPr>
          <w:rFonts w:ascii="Times New Roman" w:hAnsi="Times New Roman"/>
          <w:color w:val="1E293B"/>
          <w:sz w:val="24"/>
        </w:rPr>
        <w:t>We model the entire software specification as a directed, attributed multi-tier graph G = (V, E), where the vertex set V is partitioned into seven disjoint entity subsets: V = V_ST U V_FR U V_MOD U V_TASK U V_COMP U V_API U V_DB. The directed edge set E represents dependency, realization, and containment relations across SDLC tiers:</w:t>
      </w:r>
    </w:p>
    <w:p>
      <w:pPr>
        <w:pStyle w:val="ListBullet"/>
        <w:spacing w:before="0" w:after="70" w:line="276" w:lineRule="auto"/>
        <w:jc w:val="left"/>
      </w:pPr>
      <w:r>
        <w:rPr>
          <w:rFonts w:ascii="Times New Roman" w:hAnsi="Times New Roman"/>
          <w:b/>
          <w:color w:val="0F172A"/>
          <w:sz w:val="24"/>
        </w:rPr>
        <w:t xml:space="preserve">Containment Edges: </w:t>
      </w:r>
      <w:r>
        <w:rPr>
          <w:rFonts w:ascii="Times New Roman" w:hAnsi="Times New Roman"/>
          <w:color w:val="1E293B"/>
          <w:sz w:val="24"/>
        </w:rPr>
        <w:t>(v_mod, v_task) in E: Indicates that logical module v_mod contains engineering task v_task.</w:t>
      </w:r>
    </w:p>
    <w:p>
      <w:pPr>
        <w:pStyle w:val="ListBullet"/>
        <w:spacing w:before="0" w:after="70" w:line="276" w:lineRule="auto"/>
        <w:jc w:val="left"/>
      </w:pPr>
      <w:r>
        <w:rPr>
          <w:rFonts w:ascii="Times New Roman" w:hAnsi="Times New Roman"/>
          <w:b/>
          <w:color w:val="0F172A"/>
          <w:sz w:val="24"/>
        </w:rPr>
        <w:t xml:space="preserve">Realization Edges: </w:t>
      </w:r>
      <w:r>
        <w:rPr>
          <w:rFonts w:ascii="Times New Roman" w:hAnsi="Times New Roman"/>
          <w:color w:val="1E293B"/>
          <w:sz w:val="24"/>
        </w:rPr>
        <w:t>(v_task, v_fr) in E: Indicates that engineering task v_task realizes functional requirement v_fr.</w:t>
      </w:r>
    </w:p>
    <w:p>
      <w:pPr>
        <w:pStyle w:val="ListBullet"/>
        <w:spacing w:before="0" w:after="70" w:line="276" w:lineRule="auto"/>
        <w:jc w:val="left"/>
      </w:pPr>
      <w:r>
        <w:rPr>
          <w:rFonts w:ascii="Times New Roman" w:hAnsi="Times New Roman"/>
          <w:b/>
          <w:color w:val="0F172A"/>
          <w:sz w:val="24"/>
        </w:rPr>
        <w:t xml:space="preserve">Architectural Edges: </w:t>
      </w:r>
      <w:r>
        <w:rPr>
          <w:rFonts w:ascii="Times New Roman" w:hAnsi="Times New Roman"/>
          <w:color w:val="1E293B"/>
          <w:sz w:val="24"/>
        </w:rPr>
        <w:t>(v_comp, v_fr) in E: Indicates that C4 component v_comp implements functional requirement v_fr.</w:t>
      </w:r>
    </w:p>
    <w:p>
      <w:pPr>
        <w:pStyle w:val="ListBullet"/>
        <w:spacing w:before="0" w:after="70" w:line="276" w:lineRule="auto"/>
        <w:jc w:val="left"/>
      </w:pPr>
      <w:r>
        <w:rPr>
          <w:rFonts w:ascii="Times New Roman" w:hAnsi="Times New Roman"/>
          <w:b/>
          <w:color w:val="0F172A"/>
          <w:sz w:val="24"/>
        </w:rPr>
        <w:t xml:space="preserve">Prerequisite Edges: </w:t>
      </w:r>
      <w:r>
        <w:rPr>
          <w:rFonts w:ascii="Times New Roman" w:hAnsi="Times New Roman"/>
          <w:color w:val="1E293B"/>
          <w:sz w:val="24"/>
        </w:rPr>
        <w:t>(v_task_i, v_task_j) in E: Indicates that task v_task_j cannot begin until task v_task_i has completed.</w:t>
      </w:r>
    </w:p>
    <w:p>
      <w:pPr>
        <w:keepNext/>
        <w:spacing w:before="240" w:after="80"/>
      </w:pPr>
      <w:r>
        <w:rPr>
          <w:rFonts w:ascii="Times New Roman" w:hAnsi="Times New Roman"/>
          <w:b/>
          <w:color w:val="0F172A"/>
          <w:sz w:val="24"/>
        </w:rPr>
        <w:t>A.2 Proof of Acyclicity &amp; Topological Sort</w:t>
      </w:r>
    </w:p>
    <w:p>
      <w:pPr>
        <w:spacing w:before="0" w:after="120" w:line="276" w:lineRule="auto"/>
        <w:jc w:val="left"/>
      </w:pPr>
      <w:r>
        <w:rPr>
          <w:rFonts w:ascii="Times New Roman" w:hAnsi="Times New Roman"/>
          <w:color w:val="1E293B"/>
          <w:sz w:val="24"/>
        </w:rPr>
        <w:t>Let G_sub = (V_TASK, E_PREREQ) be the task dependency subgraph. A valid project plan exists if and only if G_sub is a Directed Acyclic Graph (DAG). In `app/validation/deterministic.py`, we execute Tarjan's strongly connected components algorithm. If all strongly connected components are trivial (single vertices), G_sub contains no cycles. NetworkX then computes the topological ordering L = [v_1, v_2, ..., v_n] such that for every directed edge (v_u, v_w) in E_PREREQ, v_u appears before v_w in L. This guarantees mathematically that engineering sprint milestones can be executed without deadlock.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64748B"/>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