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4"/>
        </w:rPr>
        <w:t>SOFTWARE BLUEPRINT AI</w:t>
      </w:r>
    </w:p>
    <w:p>
      <w:pPr>
        <w:spacing w:before="0" w:after="240"/>
      </w:pPr>
      <w:r>
        <w:rPr>
          <w:rFonts w:ascii="Calibri" w:hAnsi="Calibri"/>
          <w:color w:val="2563EB"/>
          <w:sz w:val="24"/>
        </w:rPr>
        <w:t>In-Depth Technical Guide: Metrics Calculation, LLM Output Validation &amp; Module 5 Validation Agent Architecture</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F1F5F9"/>
            <w:tcMar>
              <w:top w:w="80" w:type="dxa"/>
              <w:bottom w:w="80" w:type="dxa"/>
              <w:left w:w="100" w:type="dxa"/>
              <w:right w:w="100" w:type="dxa"/>
            </w:tcMar>
          </w:tcPr>
          <w:p>
            <w:pPr>
              <w:spacing w:before="0" w:after="0" w:line="264" w:lineRule="auto"/>
            </w:pPr>
            <w:r>
              <w:rPr>
                <w:rFonts w:ascii="Calibri" w:hAnsi="Calibri"/>
                <w:b/>
                <w:color w:val="0F172A"/>
                <w:sz w:val="17"/>
              </w:rPr>
              <w:t xml:space="preserve">Platform Version: </w:t>
            </w:r>
            <w:r>
              <w:rPr>
                <w:rFonts w:ascii="Calibri" w:hAnsi="Calibri"/>
                <w:color w:val="334155"/>
                <w:sz w:val="17"/>
              </w:rPr>
              <w:t>Software Blueprint AI v2.0</w:t>
            </w:r>
          </w:p>
        </w:tc>
        <w:tc>
          <w:tcPr>
            <w:tcW w:type="dxa" w:w="3312"/>
            <w:shd w:fill="F1F5F9"/>
            <w:tcMar>
              <w:top w:w="80" w:type="dxa"/>
              <w:bottom w:w="80" w:type="dxa"/>
              <w:left w:w="100" w:type="dxa"/>
              <w:right w:w="100" w:type="dxa"/>
            </w:tcMar>
          </w:tcPr>
          <w:p>
            <w:pPr>
              <w:spacing w:before="0" w:after="0" w:line="264" w:lineRule="auto"/>
            </w:pPr>
            <w:r>
              <w:rPr>
                <w:rFonts w:ascii="Calibri" w:hAnsi="Calibri"/>
                <w:b/>
                <w:color w:val="0F172A"/>
                <w:sz w:val="17"/>
              </w:rPr>
              <w:t xml:space="preserve">Validation Paradigm: </w:t>
            </w:r>
            <w:r>
              <w:rPr>
                <w:rFonts w:ascii="Calibri" w:hAnsi="Calibri"/>
                <w:color w:val="334155"/>
                <w:sz w:val="17"/>
              </w:rPr>
              <w:t>Deterministic-First (Zero Hallucination)</w:t>
            </w:r>
          </w:p>
        </w:tc>
        <w:tc>
          <w:tcPr>
            <w:tcW w:type="dxa" w:w="3312"/>
            <w:shd w:fill="F1F5F9"/>
            <w:tcMar>
              <w:top w:w="80" w:type="dxa"/>
              <w:bottom w:w="80" w:type="dxa"/>
              <w:left w:w="100" w:type="dxa"/>
              <w:right w:w="100" w:type="dxa"/>
            </w:tcMar>
          </w:tcPr>
          <w:p>
            <w:pPr>
              <w:spacing w:before="0" w:after="0" w:line="264" w:lineRule="auto"/>
            </w:pPr>
            <w:r>
              <w:rPr>
                <w:rFonts w:ascii="Calibri" w:hAnsi="Calibri"/>
                <w:b/>
                <w:color w:val="0F172A"/>
                <w:sz w:val="17"/>
              </w:rPr>
              <w:t xml:space="preserve">Graph Topology Engine: </w:t>
            </w:r>
            <w:r>
              <w:rPr>
                <w:rFonts w:ascii="Calibri" w:hAnsi="Calibri"/>
                <w:color w:val="334155"/>
                <w:sz w:val="17"/>
              </w:rPr>
              <w:t>NetworkX (Directed Acyclic Graph)</w:t>
            </w:r>
          </w:p>
        </w:tc>
      </w:tr>
      <w:tr>
        <w:tc>
          <w:tcPr>
            <w:tcW w:type="dxa" w:w="3168"/>
            <w:shd w:fill="F1F5F9"/>
            <w:tcMar>
              <w:top w:w="80" w:type="dxa"/>
              <w:bottom w:w="80" w:type="dxa"/>
              <w:left w:w="100" w:type="dxa"/>
              <w:right w:w="100" w:type="dxa"/>
            </w:tcMar>
          </w:tcPr>
          <w:p>
            <w:pPr>
              <w:spacing w:before="0" w:after="0" w:line="264" w:lineRule="auto"/>
            </w:pPr>
            <w:r>
              <w:rPr>
                <w:rFonts w:ascii="Calibri" w:hAnsi="Calibri"/>
                <w:b/>
                <w:color w:val="0F172A"/>
                <w:sz w:val="17"/>
              </w:rPr>
              <w:t xml:space="preserve">Structured Parser: </w:t>
            </w:r>
            <w:r>
              <w:rPr>
                <w:rFonts w:ascii="Calibri" w:hAnsi="Calibri"/>
                <w:color w:val="334155"/>
                <w:sz w:val="17"/>
              </w:rPr>
              <w:t>Pydantic v2 Rust Core Engine</w:t>
            </w:r>
          </w:p>
        </w:tc>
        <w:tc>
          <w:tcPr>
            <w:tcW w:type="dxa" w:w="3312"/>
            <w:shd w:fill="F1F5F9"/>
            <w:tcMar>
              <w:top w:w="80" w:type="dxa"/>
              <w:bottom w:w="80" w:type="dxa"/>
              <w:left w:w="100" w:type="dxa"/>
              <w:right w:w="100" w:type="dxa"/>
            </w:tcMar>
          </w:tcPr>
          <w:p>
            <w:pPr>
              <w:spacing w:before="0" w:after="0" w:line="264" w:lineRule="auto"/>
            </w:pPr>
            <w:r>
              <w:rPr>
                <w:rFonts w:ascii="Calibri" w:hAnsi="Calibri"/>
                <w:b/>
                <w:color w:val="0F172A"/>
                <w:sz w:val="17"/>
              </w:rPr>
              <w:t xml:space="preserve">Inference Execution: </w:t>
            </w:r>
            <w:r>
              <w:rPr>
                <w:rFonts w:ascii="Calibri" w:hAnsi="Calibri"/>
                <w:color w:val="334155"/>
                <w:sz w:val="17"/>
              </w:rPr>
              <w:t>100% Offline Sovereign (Ollama Qwen)</w:t>
            </w:r>
          </w:p>
        </w:tc>
        <w:tc>
          <w:tcPr>
            <w:tcW w:type="dxa" w:w="3312"/>
            <w:shd w:fill="F1F5F9"/>
            <w:tcMar>
              <w:top w:w="80" w:type="dxa"/>
              <w:bottom w:w="80" w:type="dxa"/>
              <w:left w:w="100" w:type="dxa"/>
              <w:right w:w="100" w:type="dxa"/>
            </w:tcMar>
          </w:tcPr>
          <w:p>
            <w:pPr>
              <w:spacing w:before="0" w:after="0" w:line="264" w:lineRule="auto"/>
            </w:pPr>
            <w:r>
              <w:rPr>
                <w:rFonts w:ascii="Calibri" w:hAnsi="Calibri"/>
                <w:b/>
                <w:color w:val="0F172A"/>
                <w:sz w:val="17"/>
              </w:rPr>
              <w:t xml:space="preserve">Test Suite Status: </w:t>
            </w:r>
            <w:r>
              <w:rPr>
                <w:rFonts w:ascii="Calibri" w:hAnsi="Calibri"/>
                <w:color w:val="334155"/>
                <w:sz w:val="17"/>
              </w:rPr>
              <w:t>40/40 Passing Unit &amp; Integration Tests</w:t>
            </w:r>
          </w:p>
        </w:tc>
      </w:tr>
    </w:tbl>
    <w:p>
      <w:pPr>
        <w:spacing w:after="160"/>
      </w:pPr>
    </w:p>
    <w:p>
      <w:pPr>
        <w:spacing w:before="280" w:after="80"/>
      </w:pPr>
      <w:r>
        <w:rPr>
          <w:rFonts w:ascii="Calibri" w:hAnsi="Calibri"/>
          <w:b/>
          <w:color w:val="0F172A"/>
          <w:sz w:val="28"/>
        </w:rPr>
        <w:t>1. HOW THE OUTPUTS FROM THE LLM ARE VALIDATED</w:t>
      </w:r>
    </w:p>
    <w:tbl>
      <w:tblPr>
        <w:tblW w:type="auto" w:w="0"/>
        <w:jc w:val="center"/>
        <w:tblLayout w:type="fixed"/>
        <w:tblLook w:firstColumn="1" w:firstRow="1" w:lastColumn="0" w:lastRow="0" w:noHBand="0" w:noVBand="1" w:val="04A0"/>
      </w:tblPr>
      <w:tblGrid>
        <w:gridCol w:w="9792"/>
      </w:tblGrid>
      <w:tr>
        <w:tc>
          <w:tcPr>
            <w:tcW w:type="dxa" w:w="9936"/>
            <w:shd w:fill="EFF6FF"/>
            <w:tcMar>
              <w:top w:w="140" w:type="dxa"/>
              <w:bottom w:w="140" w:type="dxa"/>
              <w:left w:w="200" w:type="dxa"/>
              <w:right w:w="200" w:type="dxa"/>
            </w:tcMar>
            <w:tcBorders>
              <w:top w:val="none"/>
              <w:left w:val="single" w:sz="24" w:space="0" w:color="2563EB"/>
              <w:bottom w:val="none"/>
              <w:right w:val="none"/>
            </w:tcBorders>
          </w:tcPr>
          <w:p>
            <w:pPr>
              <w:spacing w:before="0" w:after="60" w:line="276" w:lineRule="auto"/>
            </w:pPr>
            <w:r>
              <w:rPr>
                <w:rFonts w:ascii="Calibri" w:hAnsi="Calibri"/>
                <w:b/>
                <w:color w:val="0F172A"/>
                <w:sz w:val="21"/>
              </w:rPr>
              <w:t>Core Engineering Challenge: Taming LLM Stochastic Output</w:t>
            </w:r>
          </w:p>
          <w:p>
            <w:pPr>
              <w:spacing w:before="40" w:after="40" w:line="276" w:lineRule="auto"/>
            </w:pPr>
            <w:r>
              <w:rPr>
                <w:rFonts w:ascii="Calibri" w:hAnsi="Calibri"/>
                <w:color w:val="334155"/>
                <w:sz w:val="19"/>
              </w:rPr>
              <w:t>Large Language Models (LLMs) are probabilistic next-token predictors. Even when instructed to produce pure JSON, they often emit conversational filler ('Here is the JSON:'), markdown fences, unescaped control characters, trailing commas, or casing mismatches (e.g. camelCase vs snake_case).</w:t>
            </w:r>
          </w:p>
          <w:p>
            <w:pPr>
              <w:spacing w:before="40" w:after="40" w:line="276" w:lineRule="auto"/>
            </w:pPr>
            <w:r>
              <w:rPr>
                <w:rFonts w:ascii="Calibri" w:hAnsi="Calibri"/>
                <w:color w:val="334155"/>
                <w:sz w:val="19"/>
              </w:rPr>
              <w:t>Software Blueprint AI enforces a 4-layer defensive validation pipeline in app/llm/factory.py and app/schemas.py, ensuring that zero malformed or schema-incompatible payloads can ever propagate through the multi-agent graph.</w:t>
            </w:r>
          </w:p>
        </w:tc>
      </w:tr>
    </w:tbl>
    <w:p>
      <w:pPr>
        <w:spacing w:after="80"/>
      </w:pPr>
    </w:p>
    <w:p>
      <w:pPr>
        <w:spacing w:before="60" w:after="60"/>
        <w:ind w:left="288"/>
      </w:pPr>
      <w:r>
        <w:rPr>
          <w:rFonts w:ascii="Calibri" w:hAnsi="Calibri"/>
          <w:b/>
          <w:color w:val="1E293B"/>
          <w:sz w:val="19"/>
        </w:rPr>
        <w:t xml:space="preserve">• Layer 1: Token-Level JSON Mode Constraint: </w:t>
      </w:r>
      <w:r>
        <w:rPr>
          <w:rFonts w:ascii="Calibri" w:hAnsi="Calibri"/>
          <w:color w:val="334155"/>
          <w:sz w:val="19"/>
        </w:rPr>
        <w:t>In app/llm/factory.py (get_llm), ChatOllama is initialized with format='json'. This instructs Ollama's local llama.cpp grammar sampler to strictly constrain generation logits to valid JSON tokens at the inference level, drastically reducing syntax failures before strings leave the GPU.</w:t>
      </w:r>
    </w:p>
    <w:p>
      <w:pPr>
        <w:spacing w:before="60" w:after="60"/>
        <w:ind w:left="288"/>
      </w:pPr>
      <w:r>
        <w:rPr>
          <w:rFonts w:ascii="Calibri" w:hAnsi="Calibri"/>
          <w:b/>
          <w:color w:val="1E293B"/>
          <w:sz w:val="19"/>
        </w:rPr>
        <w:t xml:space="preserve">• Layer 2: Markdown Code Fence Stripping &amp; Regex Boundary Extraction: </w:t>
      </w:r>
      <w:r>
        <w:rPr>
          <w:rFonts w:ascii="Calibri" w:hAnsi="Calibri"/>
          <w:color w:val="334155"/>
          <w:sz w:val="19"/>
        </w:rPr>
        <w:t>Raw LLM outputs are processed by extract_json_from_text(). First, it strips markdown fences (```json ... ```). Next, it applies regex boundary extraction re.search(r'(\{[\s\S]*\})', candidate) to isolate the outermost matching braces { ... }, automatically discarding any preamble greetings or post-generation explanations.</w:t>
      </w:r>
    </w:p>
    <w:p>
      <w:pPr>
        <w:spacing w:before="60" w:after="60"/>
        <w:ind w:left="288"/>
      </w:pPr>
      <w:r>
        <w:rPr>
          <w:rFonts w:ascii="Calibri" w:hAnsi="Calibri"/>
          <w:b/>
          <w:color w:val="1E293B"/>
          <w:sz w:val="19"/>
        </w:rPr>
        <w:t xml:space="preserve">• Layer 3: Fuzzy Syntax Auto-Repair &amp; Key Normalization: </w:t>
      </w:r>
      <w:r>
        <w:rPr>
          <w:rFonts w:ascii="Calibri" w:hAnsi="Calibri"/>
          <w:color w:val="334155"/>
          <w:sz w:val="19"/>
        </w:rPr>
        <w:t>If json.loads fails, our engine executes heuristic syntax repairs: (1) regex trailing comma removal: re.sub(r',\s*([\]\}])', r'\1', candidate); (2) control character purging: re.sub(r'[\x00-\x1f\x7f-\x9f]', '', cleaned). Next, _normalize_keys() recursively converts all dictionary keys from camelCase to snake_case via _camel_to_snake() so they match Python Pydantic fields.</w:t>
      </w:r>
    </w:p>
    <w:p>
      <w:pPr>
        <w:spacing w:before="60" w:after="60"/>
        <w:ind w:left="288"/>
      </w:pPr>
      <w:r>
        <w:rPr>
          <w:rFonts w:ascii="Calibri" w:hAnsi="Calibri"/>
          <w:b/>
          <w:color w:val="1E293B"/>
          <w:sz w:val="19"/>
        </w:rPr>
        <w:t xml:space="preserve">• Layer 4: Pydantic v2 Rust Core Validation &amp; Model Hooks: </w:t>
      </w:r>
      <w:r>
        <w:rPr>
          <w:rFonts w:ascii="Calibri" w:hAnsi="Calibri"/>
          <w:color w:val="334155"/>
          <w:sz w:val="19"/>
        </w:rPr>
        <w:t>The parsed dictionary is fed to schema.model_validate(data). Pydantic v2's Rust-based core engine (pydantic-core) validates strict types, required fields, and regex formats (e.g., ^FR-\d{3,}$ for requirements, ^MOD-\d{3,}$ for modules). Post-validation hooks (@model_validator(mode='after')) calculate quantitative RICE scores, normalize confidence values, and assign global rank ordering.</w:t>
      </w:r>
    </w:p>
    <w:p>
      <w:pPr>
        <w:spacing w:after="120"/>
      </w:pPr>
    </w:p>
    <w:p>
      <w:pPr>
        <w:spacing w:before="280" w:after="80"/>
      </w:pPr>
      <w:r>
        <w:rPr>
          <w:rFonts w:ascii="Calibri" w:hAnsi="Calibri"/>
          <w:b/>
          <w:color w:val="0F172A"/>
          <w:sz w:val="28"/>
        </w:rPr>
        <w:t>2. HOW THE VALIDATION AGENT WORKS (MODULE 5)</w:t>
      </w:r>
    </w:p>
    <w:tbl>
      <w:tblPr>
        <w:tblW w:type="auto" w:w="0"/>
        <w:jc w:val="center"/>
        <w:tblLayout w:type="fixed"/>
        <w:tblLook w:firstColumn="1" w:firstRow="1" w:lastColumn="0" w:lastRow="0" w:noHBand="0" w:noVBand="1" w:val="04A0"/>
      </w:tblPr>
      <w:tblGrid>
        <w:gridCol w:w="9792"/>
      </w:tblGrid>
      <w:tr>
        <w:tc>
          <w:tcPr>
            <w:tcW w:type="dxa" w:w="9936"/>
            <w:shd w:fill="ECFDF5"/>
            <w:tcMar>
              <w:top w:w="140" w:type="dxa"/>
              <w:bottom w:w="140" w:type="dxa"/>
              <w:left w:w="200" w:type="dxa"/>
              <w:right w:w="200" w:type="dxa"/>
            </w:tcMar>
            <w:tcBorders>
              <w:top w:val="none"/>
              <w:left w:val="single" w:sz="24" w:space="0" w:color="059669"/>
              <w:bottom w:val="none"/>
              <w:right w:val="none"/>
            </w:tcBorders>
          </w:tcPr>
          <w:p>
            <w:pPr>
              <w:spacing w:before="0" w:after="60" w:line="276" w:lineRule="auto"/>
            </w:pPr>
            <w:r>
              <w:rPr>
                <w:rFonts w:ascii="Calibri" w:hAnsi="Calibri"/>
                <w:b/>
                <w:color w:val="0F172A"/>
                <w:sz w:val="21"/>
              </w:rPr>
              <w:t>Architectural Principle: Separation of Deterministic Truth from LLM Sanity Checks</w:t>
            </w:r>
          </w:p>
          <w:p>
            <w:pPr>
              <w:spacing w:before="40" w:after="40" w:line="276" w:lineRule="auto"/>
            </w:pPr>
            <w:r>
              <w:rPr>
                <w:rFonts w:ascii="Calibri" w:hAnsi="Calibri"/>
                <w:color w:val="334155"/>
                <w:sz w:val="19"/>
              </w:rPr>
              <w:t>The Validation Agent (app/agents/validation_agent.py) avoids the dangerous anti-pattern of 'using an LLM to grade another LLM' for structural correctness. LLMs cannot reliably verify acyclic graph topologies, math formulas, or bidirectional orphan links.</w:t>
            </w:r>
          </w:p>
          <w:p>
            <w:pPr>
              <w:spacing w:before="40" w:after="40" w:line="276" w:lineRule="auto"/>
            </w:pPr>
            <w:r>
              <w:rPr>
                <w:rFonts w:ascii="Calibri" w:hAnsi="Calibri"/>
                <w:color w:val="334155"/>
                <w:sz w:val="19"/>
              </w:rPr>
              <w:t>Instead, Module 5 executes as a Two-Phase Hybrid Audit: Phase 1 Deterministic Audit runs pure Python AST and NetworkX graph algorithms with 100% mathematical reproducibility, while Phase 2 Semantic LLM Audit synthesizes high-level architectural governance recommendations.</w:t>
            </w:r>
          </w:p>
        </w:tc>
      </w:tr>
    </w:tbl>
    <w:p>
      <w:pPr>
        <w:spacing w:after="80"/>
      </w:pPr>
    </w:p>
    <w:p>
      <w:pPr>
        <w:spacing w:before="120" w:after="40"/>
      </w:pPr>
      <w:r>
        <w:rPr>
          <w:rFonts w:ascii="Calibri" w:hAnsi="Calibri"/>
          <w:b/>
          <w:color w:val="059669"/>
          <w:sz w:val="22"/>
        </w:rPr>
        <w:t>Phase 1: Deterministic Audit Engine (app/validation/deterministic.py)</w:t>
      </w:r>
    </w:p>
    <w:p>
      <w:pPr>
        <w:spacing w:before="40" w:after="40"/>
        <w:ind w:left="288"/>
      </w:pPr>
      <w:r>
        <w:rPr>
          <w:rFonts w:ascii="Calibri" w:hAnsi="Calibri"/>
          <w:b/>
          <w:color w:val="1E293B"/>
          <w:sz w:val="19"/>
        </w:rPr>
        <w:t xml:space="preserve">• 1. ID Syntax and Duplicate Collision Audit: </w:t>
      </w:r>
      <w:r>
        <w:rPr>
          <w:rFonts w:ascii="Calibri" w:hAnsi="Calibri"/>
          <w:color w:val="334155"/>
          <w:sz w:val="19"/>
        </w:rPr>
        <w:t>Inspects all entities across Stakeholders (ST-001..), Requirements (FR-001..), Modules (MOD-001..), Tasks (T-001..), Components (COMP-001..), and APIs (API-001..). Flags non-conforming IDs as WARNING and immediately marks duplicate IDs as CRITICAL.</w:t>
      </w:r>
    </w:p>
    <w:p>
      <w:pPr>
        <w:spacing w:before="40" w:after="40"/>
        <w:ind w:left="288"/>
      </w:pPr>
      <w:r>
        <w:rPr>
          <w:rFonts w:ascii="Calibri" w:hAnsi="Calibri"/>
          <w:b/>
          <w:color w:val="1E293B"/>
          <w:sz w:val="19"/>
        </w:rPr>
        <w:t xml:space="preserve">• 2. Bidirectional Traceability Matrix Audit: </w:t>
      </w:r>
      <w:r>
        <w:rPr>
          <w:rFonts w:ascii="Calibri" w:hAnsi="Calibri"/>
          <w:color w:val="334155"/>
          <w:sz w:val="19"/>
        </w:rPr>
        <w:t>Calculates forward and backward links across the entire blueprint: (1) Forward Task Coverage: Verifies every FR has at least one implementing engineering task. Any untraced FR triggers CRITICAL issue UNTRACED_REQUIREMENT_NO_TASK; (2) Backward Reference Integrity: Verifies that tasks and components do not cite phantom requirement IDs (BROKEN_TASK_REQUIREMENT_REFERENCE); (3) Architecture Component Coverage: Verifies that every FR has an owning C4 architecture component.</w:t>
      </w:r>
    </w:p>
    <w:p>
      <w:pPr>
        <w:spacing w:before="40" w:after="40"/>
        <w:ind w:left="288"/>
      </w:pPr>
      <w:r>
        <w:rPr>
          <w:rFonts w:ascii="Calibri" w:hAnsi="Calibri"/>
          <w:b/>
          <w:color w:val="1E293B"/>
          <w:sz w:val="19"/>
        </w:rPr>
        <w:t xml:space="preserve">• 3. NetworkX Task Dependency DAG &amp; Cycle Detection: </w:t>
      </w:r>
      <w:r>
        <w:rPr>
          <w:rFonts w:ascii="Calibri" w:hAnsi="Calibri"/>
          <w:color w:val="334155"/>
          <w:sz w:val="19"/>
        </w:rPr>
        <w:t>Constructs a directed graph G = nx.DiGraph() from the Work Breakdown Structure (WBS) where nodes are tasks and directed edges represent prerequisite dependencies (dep -&gt; task). Calls nx.is_directed_acyclic_graph(G). If cycles exist, it uses Johnson's algorithm (nx.simple_cycles(G)) to locate circular deadlock loops and flags CRITICAL issue CIRCULAR_TASK_DEPENDENCY.</w:t>
      </w:r>
    </w:p>
    <w:p>
      <w:pPr>
        <w:spacing w:before="40" w:after="40"/>
        <w:ind w:left="288"/>
      </w:pPr>
      <w:r>
        <w:rPr>
          <w:rFonts w:ascii="Calibri" w:hAnsi="Calibri"/>
          <w:b/>
          <w:color w:val="1E293B"/>
          <w:sz w:val="19"/>
        </w:rPr>
        <w:t xml:space="preserve">• 4. Effort Estimation Anomaly Detection: </w:t>
      </w:r>
      <w:r>
        <w:rPr>
          <w:rFonts w:ascii="Calibri" w:hAnsi="Calibri"/>
          <w:color w:val="334155"/>
          <w:sz w:val="19"/>
        </w:rPr>
        <w:t>Audits task estimates against industry bounds (0.5 to 40.0 engineering hours). Flags micro-tasks (&lt;0.5h) or monolith tasks (&gt;40h) as EFFORT_ESTIMATE_ANOMALY to enforce agile decomposition.</w:t>
      </w:r>
    </w:p>
    <w:p>
      <w:pPr>
        <w:spacing w:before="120" w:after="40"/>
      </w:pPr>
      <w:r>
        <w:rPr>
          <w:rFonts w:ascii="Calibri" w:hAnsi="Calibri"/>
          <w:b/>
          <w:color w:val="2563EB"/>
          <w:sz w:val="22"/>
        </w:rPr>
        <w:t>Phase 2: Semantic LLM Governance Audit (Optional)</w:t>
      </w:r>
    </w:p>
    <w:p>
      <w:pPr>
        <w:spacing w:before="40" w:after="80"/>
      </w:pPr>
      <w:r>
        <w:rPr>
          <w:rFonts w:ascii="Calibri" w:hAnsi="Calibri"/>
          <w:color w:val="334155"/>
          <w:sz w:val="19"/>
        </w:rPr>
        <w:t>When run_llm_recommendations is enabled, the agent sends the deterministic audit findings, critical issue codes, and traceability percentages to Ollama (qwen2.5:3b) to synthesize 3 targeted architectural governance recommendations (e.g., distributed OpenTelemetry tracing, database connection pooling, and token rate limiting). All recommendations are cached by SHA-256 fingerprint in Redis/memory to prevent duplicate LLM calls.</w:t>
      </w:r>
    </w:p>
    <w:p>
      <w:pPr>
        <w:spacing w:after="120"/>
      </w:pPr>
    </w:p>
    <w:p>
      <w:pPr>
        <w:spacing w:before="280" w:after="80"/>
      </w:pPr>
      <w:r>
        <w:rPr>
          <w:rFonts w:ascii="Calibri" w:hAnsi="Calibri"/>
          <w:b/>
          <w:color w:val="0F172A"/>
          <w:sz w:val="28"/>
        </w:rPr>
        <w:t>3. HOW METRICS ARE CALCULATED</w:t>
      </w:r>
    </w:p>
    <w:p>
      <w:pPr>
        <w:spacing w:before="40" w:after="80"/>
      </w:pPr>
      <w:r>
        <w:rPr>
          <w:rFonts w:ascii="Calibri" w:hAnsi="Calibri"/>
          <w:color w:val="334155"/>
          <w:sz w:val="19"/>
        </w:rPr>
        <w:t>Software Blueprint AI calculates two distinct tiers of metrics: (A) The 6 Quality Dimension Health Scores (0 to 100) with complete mathematical explainability, and (B) Real-Time Observability &amp; Token Performance Telemetry.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172A"/>
            <w:tcMar>
              <w:top w:w="80" w:type="dxa"/>
              <w:bottom w:w="80" w:type="dxa"/>
              <w:left w:w="100" w:type="dxa"/>
              <w:right w:w="100" w:type="dxa"/>
            </w:tcMar>
          </w:tcPr>
          <w:p>
            <w:pPr>
              <w:jc w:val="left"/>
            </w:pPr>
            <w:r>
              <w:rPr>
                <w:rFonts w:ascii="Calibri" w:hAnsi="Calibri"/>
                <w:b/>
                <w:color w:val="FFFFFF"/>
                <w:sz w:val="17"/>
              </w:rPr>
              <w:t>Quality Dimension</w:t>
            </w:r>
          </w:p>
        </w:tc>
        <w:tc>
          <w:tcPr>
            <w:tcW w:type="dxa" w:w="1008"/>
            <w:shd w:fill="0F172A"/>
            <w:tcMar>
              <w:top w:w="80" w:type="dxa"/>
              <w:bottom w:w="80" w:type="dxa"/>
              <w:left w:w="100" w:type="dxa"/>
              <w:right w:w="100" w:type="dxa"/>
            </w:tcMar>
          </w:tcPr>
          <w:p>
            <w:pPr>
              <w:jc w:val="left"/>
            </w:pPr>
            <w:r>
              <w:rPr>
                <w:rFonts w:ascii="Calibri" w:hAnsi="Calibri"/>
                <w:b/>
                <w:color w:val="FFFFFF"/>
                <w:sz w:val="17"/>
              </w:rPr>
              <w:t>Weight</w:t>
            </w:r>
          </w:p>
        </w:tc>
        <w:tc>
          <w:tcPr>
            <w:tcW w:type="dxa" w:w="3168"/>
            <w:shd w:fill="0F172A"/>
            <w:tcMar>
              <w:top w:w="80" w:type="dxa"/>
              <w:bottom w:w="80" w:type="dxa"/>
              <w:left w:w="100" w:type="dxa"/>
              <w:right w:w="100" w:type="dxa"/>
            </w:tcMar>
          </w:tcPr>
          <w:p>
            <w:pPr>
              <w:jc w:val="left"/>
            </w:pPr>
            <w:r>
              <w:rPr>
                <w:rFonts w:ascii="Calibri" w:hAnsi="Calibri"/>
                <w:b/>
                <w:color w:val="FFFFFF"/>
                <w:sz w:val="17"/>
              </w:rPr>
              <w:t>Exact Mathematical Formula</w:t>
            </w:r>
          </w:p>
        </w:tc>
        <w:tc>
          <w:tcPr>
            <w:tcW w:type="dxa" w:w="3456"/>
            <w:shd w:fill="0F172A"/>
            <w:tcMar>
              <w:top w:w="80" w:type="dxa"/>
              <w:bottom w:w="80" w:type="dxa"/>
              <w:left w:w="100" w:type="dxa"/>
              <w:right w:w="100" w:type="dxa"/>
            </w:tcMar>
          </w:tcPr>
          <w:p>
            <w:pPr>
              <w:jc w:val="left"/>
            </w:pPr>
            <w:r>
              <w:rPr>
                <w:rFonts w:ascii="Calibri" w:hAnsi="Calibri"/>
                <w:b/>
                <w:color w:val="FFFFFF"/>
                <w:sz w:val="17"/>
              </w:rPr>
              <w:t>Explainability &amp; Deductions</w:t>
            </w:r>
          </w:p>
        </w:tc>
      </w:tr>
      <w:tr>
        <w:tc>
          <w:tcPr>
            <w:tcW w:type="dxa" w:w="2160"/>
            <w:shd w:fill="F8FAFC"/>
            <w:tcMar>
              <w:top w:w="70" w:type="dxa"/>
              <w:bottom w:w="70" w:type="dxa"/>
              <w:left w:w="90" w:type="dxa"/>
              <w:right w:w="90" w:type="dxa"/>
            </w:tcMar>
          </w:tcPr>
          <w:p>
            <w:pPr>
              <w:spacing w:line="264" w:lineRule="auto"/>
            </w:pPr>
            <w:r>
              <w:rPr>
                <w:rFonts w:ascii="Calibri" w:hAnsi="Calibri"/>
                <w:b/>
                <w:color w:val="0F172A"/>
                <w:sz w:val="17"/>
              </w:rPr>
              <w:t>1. Requirements Quality</w:t>
            </w:r>
          </w:p>
        </w:tc>
        <w:tc>
          <w:tcPr>
            <w:tcW w:type="dxa" w:w="1008"/>
            <w:shd w:fill="F8FAFC"/>
            <w:tcMar>
              <w:top w:w="70" w:type="dxa"/>
              <w:bottom w:w="70" w:type="dxa"/>
              <w:left w:w="90" w:type="dxa"/>
              <w:right w:w="90" w:type="dxa"/>
            </w:tcMar>
          </w:tcPr>
          <w:p>
            <w:pPr>
              <w:spacing w:line="264" w:lineRule="auto"/>
            </w:pPr>
            <w:r>
              <w:rPr>
                <w:rFonts w:ascii="Calibri" w:hAnsi="Calibri"/>
                <w:b/>
                <w:color w:val="2563EB"/>
                <w:sz w:val="17"/>
              </w:rPr>
              <w:t>20%</w:t>
            </w:r>
          </w:p>
        </w:tc>
        <w:tc>
          <w:tcPr>
            <w:tcW w:type="dxa" w:w="3168"/>
            <w:shd w:fill="F8FAFC"/>
            <w:tcMar>
              <w:top w:w="70" w:type="dxa"/>
              <w:bottom w:w="70" w:type="dxa"/>
              <w:left w:w="90" w:type="dxa"/>
              <w:right w:w="90" w:type="dxa"/>
            </w:tcMar>
          </w:tcPr>
          <w:p>
            <w:pPr>
              <w:spacing w:line="264" w:lineRule="auto"/>
            </w:pPr>
            <w:r>
              <w:rPr>
                <w:rFonts w:ascii="Calibri" w:hAnsi="Calibri"/>
                <w:color w:val="334155"/>
                <w:sz w:val="17"/>
              </w:rPr>
              <w:t>Score = Base(100) - (FR_Count &lt; 3 ? 20 : 0) - (Ambiguities * 5)</w:t>
            </w:r>
          </w:p>
        </w:tc>
        <w:tc>
          <w:tcPr>
            <w:tcW w:type="dxa" w:w="3456"/>
            <w:shd w:fill="F8FAFC"/>
            <w:tcMar>
              <w:top w:w="70" w:type="dxa"/>
              <w:bottom w:w="70" w:type="dxa"/>
              <w:left w:w="90" w:type="dxa"/>
              <w:right w:w="90" w:type="dxa"/>
            </w:tcMar>
          </w:tcPr>
          <w:p>
            <w:pPr>
              <w:spacing w:line="264" w:lineRule="auto"/>
            </w:pPr>
            <w:r>
              <w:rPr>
                <w:rFonts w:ascii="Calibri" w:hAnsi="Calibri"/>
                <w:color w:val="334155"/>
                <w:sz w:val="17"/>
              </w:rPr>
              <w:t>Starts at baseline 95%. Deducts -20 pts if &lt;3 FRs exist. Deducts -5 pts for each unclarified scope ambiguity.</w:t>
            </w:r>
          </w:p>
        </w:tc>
      </w:tr>
      <w:tr>
        <w:tc>
          <w:tcPr>
            <w:tcW w:type="dxa" w:w="2160"/>
            <w:shd w:fill="FFFFFF"/>
            <w:tcMar>
              <w:top w:w="70" w:type="dxa"/>
              <w:bottom w:w="70" w:type="dxa"/>
              <w:left w:w="90" w:type="dxa"/>
              <w:right w:w="90" w:type="dxa"/>
            </w:tcMar>
          </w:tcPr>
          <w:p>
            <w:pPr>
              <w:spacing w:line="264" w:lineRule="auto"/>
            </w:pPr>
            <w:r>
              <w:rPr>
                <w:rFonts w:ascii="Calibri" w:hAnsi="Calibri"/>
                <w:b/>
                <w:color w:val="0F172A"/>
                <w:sz w:val="17"/>
              </w:rPr>
              <w:t>2. Traceability Coverage</w:t>
            </w:r>
          </w:p>
        </w:tc>
        <w:tc>
          <w:tcPr>
            <w:tcW w:type="dxa" w:w="1008"/>
            <w:shd w:fill="FFFFFF"/>
            <w:tcMar>
              <w:top w:w="70" w:type="dxa"/>
              <w:bottom w:w="70" w:type="dxa"/>
              <w:left w:w="90" w:type="dxa"/>
              <w:right w:w="90" w:type="dxa"/>
            </w:tcMar>
          </w:tcPr>
          <w:p>
            <w:pPr>
              <w:spacing w:line="264" w:lineRule="auto"/>
            </w:pPr>
            <w:r>
              <w:rPr>
                <w:rFonts w:ascii="Calibri" w:hAnsi="Calibri"/>
                <w:b/>
                <w:color w:val="2563EB"/>
                <w:sz w:val="17"/>
              </w:rPr>
              <w:t>25%</w:t>
            </w:r>
          </w:p>
        </w:tc>
        <w:tc>
          <w:tcPr>
            <w:tcW w:type="dxa" w:w="3168"/>
            <w:shd w:fill="FFFFFF"/>
            <w:tcMar>
              <w:top w:w="70" w:type="dxa"/>
              <w:bottom w:w="70" w:type="dxa"/>
              <w:left w:w="90" w:type="dxa"/>
              <w:right w:w="90" w:type="dxa"/>
            </w:tcMar>
          </w:tcPr>
          <w:p>
            <w:pPr>
              <w:spacing w:line="264" w:lineRule="auto"/>
            </w:pPr>
            <w:r>
              <w:rPr>
                <w:rFonts w:ascii="Calibri" w:hAnsi="Calibri"/>
                <w:color w:val="334155"/>
                <w:sz w:val="17"/>
              </w:rPr>
              <w:t>Traceability = round((Task_Coverage_% + Arch_Coverage_%) / 2)</w:t>
            </w:r>
          </w:p>
        </w:tc>
        <w:tc>
          <w:tcPr>
            <w:tcW w:type="dxa" w:w="3456"/>
            <w:shd w:fill="FFFFFF"/>
            <w:tcMar>
              <w:top w:w="70" w:type="dxa"/>
              <w:bottom w:w="70" w:type="dxa"/>
              <w:left w:w="90" w:type="dxa"/>
              <w:right w:w="90" w:type="dxa"/>
            </w:tcMar>
          </w:tcPr>
          <w:p>
            <w:pPr>
              <w:spacing w:line="264" w:lineRule="auto"/>
            </w:pPr>
            <w:r>
              <w:rPr>
                <w:rFonts w:ascii="Calibri" w:hAnsi="Calibri"/>
                <w:color w:val="334155"/>
                <w:sz w:val="17"/>
              </w:rPr>
              <w:t>Task_Coverage_% = (Traced_FRs / Total_FRs) * 100. Arch_Coverage_% = (Arch_FRs / Total_FRs) * 100. Yields 66% in initial drafts due to pending component links.</w:t>
            </w:r>
          </w:p>
        </w:tc>
      </w:tr>
      <w:tr>
        <w:tc>
          <w:tcPr>
            <w:tcW w:type="dxa" w:w="2160"/>
            <w:shd w:fill="F8FAFC"/>
            <w:tcMar>
              <w:top w:w="70" w:type="dxa"/>
              <w:bottom w:w="70" w:type="dxa"/>
              <w:left w:w="90" w:type="dxa"/>
              <w:right w:w="90" w:type="dxa"/>
            </w:tcMar>
          </w:tcPr>
          <w:p>
            <w:pPr>
              <w:spacing w:line="264" w:lineRule="auto"/>
            </w:pPr>
            <w:r>
              <w:rPr>
                <w:rFonts w:ascii="Calibri" w:hAnsi="Calibri"/>
                <w:b/>
                <w:color w:val="0F172A"/>
                <w:sz w:val="17"/>
              </w:rPr>
              <w:t>3. Architecture Consistency</w:t>
            </w:r>
          </w:p>
        </w:tc>
        <w:tc>
          <w:tcPr>
            <w:tcW w:type="dxa" w:w="1008"/>
            <w:shd w:fill="F8FAFC"/>
            <w:tcMar>
              <w:top w:w="70" w:type="dxa"/>
              <w:bottom w:w="70" w:type="dxa"/>
              <w:left w:w="90" w:type="dxa"/>
              <w:right w:w="90" w:type="dxa"/>
            </w:tcMar>
          </w:tcPr>
          <w:p>
            <w:pPr>
              <w:spacing w:line="264" w:lineRule="auto"/>
            </w:pPr>
            <w:r>
              <w:rPr>
                <w:rFonts w:ascii="Calibri" w:hAnsi="Calibri"/>
                <w:b/>
                <w:color w:val="2563EB"/>
                <w:sz w:val="17"/>
              </w:rPr>
              <w:t>20%</w:t>
            </w:r>
          </w:p>
        </w:tc>
        <w:tc>
          <w:tcPr>
            <w:tcW w:type="dxa" w:w="3168"/>
            <w:shd w:fill="F8FAFC"/>
            <w:tcMar>
              <w:top w:w="70" w:type="dxa"/>
              <w:bottom w:w="70" w:type="dxa"/>
              <w:left w:w="90" w:type="dxa"/>
              <w:right w:w="90" w:type="dxa"/>
            </w:tcMar>
          </w:tcPr>
          <w:p>
            <w:pPr>
              <w:spacing w:line="264" w:lineRule="auto"/>
            </w:pPr>
            <w:r>
              <w:rPr>
                <w:rFonts w:ascii="Calibri" w:hAnsi="Calibri"/>
                <w:color w:val="334155"/>
                <w:sz w:val="17"/>
              </w:rPr>
              <w:t>Consistency = max(50, 95 - (Critical * 15) - min(15, Warnings * 5))</w:t>
            </w:r>
          </w:p>
        </w:tc>
        <w:tc>
          <w:tcPr>
            <w:tcW w:type="dxa" w:w="3456"/>
            <w:shd w:fill="F8FAFC"/>
            <w:tcMar>
              <w:top w:w="70" w:type="dxa"/>
              <w:bottom w:w="70" w:type="dxa"/>
              <w:left w:w="90" w:type="dxa"/>
              <w:right w:w="90" w:type="dxa"/>
            </w:tcMar>
          </w:tcPr>
          <w:p>
            <w:pPr>
              <w:spacing w:line="264" w:lineRule="auto"/>
            </w:pPr>
            <w:r>
              <w:rPr>
                <w:rFonts w:ascii="Calibri" w:hAnsi="Calibri"/>
                <w:color w:val="334155"/>
                <w:sz w:val="17"/>
              </w:rPr>
              <w:t>Starts at baseline 95%. Deducts -15 pts per critical issue. Deducts -5 pts per non-critical warning (capped at -15 pts). Minimum clamped at 50%.</w:t>
            </w:r>
          </w:p>
        </w:tc>
      </w:tr>
      <w:tr>
        <w:tc>
          <w:tcPr>
            <w:tcW w:type="dxa" w:w="2160"/>
            <w:shd w:fill="FFFFFF"/>
            <w:tcMar>
              <w:top w:w="70" w:type="dxa"/>
              <w:bottom w:w="70" w:type="dxa"/>
              <w:left w:w="90" w:type="dxa"/>
              <w:right w:w="90" w:type="dxa"/>
            </w:tcMar>
          </w:tcPr>
          <w:p>
            <w:pPr>
              <w:spacing w:line="264" w:lineRule="auto"/>
            </w:pPr>
            <w:r>
              <w:rPr>
                <w:rFonts w:ascii="Calibri" w:hAnsi="Calibri"/>
                <w:b/>
                <w:color w:val="0F172A"/>
                <w:sz w:val="17"/>
              </w:rPr>
              <w:t>4. DAG Validity</w:t>
            </w:r>
          </w:p>
        </w:tc>
        <w:tc>
          <w:tcPr>
            <w:tcW w:type="dxa" w:w="1008"/>
            <w:shd w:fill="FFFFFF"/>
            <w:tcMar>
              <w:top w:w="70" w:type="dxa"/>
              <w:bottom w:w="70" w:type="dxa"/>
              <w:left w:w="90" w:type="dxa"/>
              <w:right w:w="90" w:type="dxa"/>
            </w:tcMar>
          </w:tcPr>
          <w:p>
            <w:pPr>
              <w:spacing w:line="264" w:lineRule="auto"/>
            </w:pPr>
            <w:r>
              <w:rPr>
                <w:rFonts w:ascii="Calibri" w:hAnsi="Calibri"/>
                <w:b/>
                <w:color w:val="2563EB"/>
                <w:sz w:val="17"/>
              </w:rPr>
              <w:t>15%</w:t>
            </w:r>
          </w:p>
        </w:tc>
        <w:tc>
          <w:tcPr>
            <w:tcW w:type="dxa" w:w="3168"/>
            <w:shd w:fill="FFFFFF"/>
            <w:tcMar>
              <w:top w:w="70" w:type="dxa"/>
              <w:bottom w:w="70" w:type="dxa"/>
              <w:left w:w="90" w:type="dxa"/>
              <w:right w:w="90" w:type="dxa"/>
            </w:tcMar>
          </w:tcPr>
          <w:p>
            <w:pPr>
              <w:spacing w:line="264" w:lineRule="auto"/>
            </w:pPr>
            <w:r>
              <w:rPr>
                <w:rFonts w:ascii="Calibri" w:hAnsi="Calibri"/>
                <w:color w:val="334155"/>
                <w:sz w:val="17"/>
              </w:rPr>
              <w:t>DAG_Validity = nx.is_directed_acyclic_graph(G) ? 100 : 30</w:t>
            </w:r>
          </w:p>
        </w:tc>
        <w:tc>
          <w:tcPr>
            <w:tcW w:type="dxa" w:w="3456"/>
            <w:shd w:fill="FFFFFF"/>
            <w:tcMar>
              <w:top w:w="70" w:type="dxa"/>
              <w:bottom w:w="70" w:type="dxa"/>
              <w:left w:w="90" w:type="dxa"/>
              <w:right w:w="90" w:type="dxa"/>
            </w:tcMar>
          </w:tcPr>
          <w:p>
            <w:pPr>
              <w:spacing w:line="264" w:lineRule="auto"/>
            </w:pPr>
            <w:r>
              <w:rPr>
                <w:rFonts w:ascii="Calibri" w:hAnsi="Calibri"/>
                <w:color w:val="334155"/>
                <w:sz w:val="17"/>
              </w:rPr>
              <w:t>Evaluates task dependency graph via NetworkX. Scores 100% for strictly acyclic task trees; drops to 30% if circular dependency deadlocks exist.</w:t>
            </w:r>
          </w:p>
        </w:tc>
      </w:tr>
      <w:tr>
        <w:tc>
          <w:tcPr>
            <w:tcW w:type="dxa" w:w="2160"/>
            <w:shd w:fill="F8FAFC"/>
            <w:tcMar>
              <w:top w:w="70" w:type="dxa"/>
              <w:bottom w:w="70" w:type="dxa"/>
              <w:left w:w="90" w:type="dxa"/>
              <w:right w:w="90" w:type="dxa"/>
            </w:tcMar>
          </w:tcPr>
          <w:p>
            <w:pPr>
              <w:spacing w:line="264" w:lineRule="auto"/>
            </w:pPr>
            <w:r>
              <w:rPr>
                <w:rFonts w:ascii="Calibri" w:hAnsi="Calibri"/>
                <w:b/>
                <w:color w:val="0F172A"/>
                <w:sz w:val="17"/>
              </w:rPr>
              <w:t>5. NFR Coverage</w:t>
            </w:r>
          </w:p>
        </w:tc>
        <w:tc>
          <w:tcPr>
            <w:tcW w:type="dxa" w:w="1008"/>
            <w:shd w:fill="F8FAFC"/>
            <w:tcMar>
              <w:top w:w="70" w:type="dxa"/>
              <w:bottom w:w="70" w:type="dxa"/>
              <w:left w:w="90" w:type="dxa"/>
              <w:right w:w="90" w:type="dxa"/>
            </w:tcMar>
          </w:tcPr>
          <w:p>
            <w:pPr>
              <w:spacing w:line="264" w:lineRule="auto"/>
            </w:pPr>
            <w:r>
              <w:rPr>
                <w:rFonts w:ascii="Calibri" w:hAnsi="Calibri"/>
                <w:b/>
                <w:color w:val="2563EB"/>
                <w:sz w:val="17"/>
              </w:rPr>
              <w:t>10%</w:t>
            </w:r>
          </w:p>
        </w:tc>
        <w:tc>
          <w:tcPr>
            <w:tcW w:type="dxa" w:w="3168"/>
            <w:shd w:fill="F8FAFC"/>
            <w:tcMar>
              <w:top w:w="70" w:type="dxa"/>
              <w:bottom w:w="70" w:type="dxa"/>
              <w:left w:w="90" w:type="dxa"/>
              <w:right w:w="90" w:type="dxa"/>
            </w:tcMar>
          </w:tcPr>
          <w:p>
            <w:pPr>
              <w:spacing w:line="264" w:lineRule="auto"/>
            </w:pPr>
            <w:r>
              <w:rPr>
                <w:rFonts w:ascii="Calibri" w:hAnsi="Calibri"/>
                <w:color w:val="334155"/>
                <w:sz w:val="17"/>
              </w:rPr>
              <w:t>NFR_Score = min(100, max(40, len(NFRs) * 20))</w:t>
            </w:r>
          </w:p>
        </w:tc>
        <w:tc>
          <w:tcPr>
            <w:tcW w:type="dxa" w:w="3456"/>
            <w:shd w:fill="F8FAFC"/>
            <w:tcMar>
              <w:top w:w="70" w:type="dxa"/>
              <w:bottom w:w="70" w:type="dxa"/>
              <w:left w:w="90" w:type="dxa"/>
              <w:right w:w="90" w:type="dxa"/>
            </w:tcMar>
          </w:tcPr>
          <w:p>
            <w:pPr>
              <w:spacing w:line="264" w:lineRule="auto"/>
            </w:pPr>
            <w:r>
              <w:rPr>
                <w:rFonts w:ascii="Calibri" w:hAnsi="Calibri"/>
                <w:color w:val="334155"/>
                <w:sz w:val="17"/>
              </w:rPr>
              <w:t>Evaluates coverage across performance, security, and scalability. 3 defined NFR categories score 60%; 5 categories score 100%.</w:t>
            </w:r>
          </w:p>
        </w:tc>
      </w:tr>
      <w:tr>
        <w:tc>
          <w:tcPr>
            <w:tcW w:type="dxa" w:w="2160"/>
            <w:shd w:fill="FFFFFF"/>
            <w:tcMar>
              <w:top w:w="70" w:type="dxa"/>
              <w:bottom w:w="70" w:type="dxa"/>
              <w:left w:w="90" w:type="dxa"/>
              <w:right w:w="90" w:type="dxa"/>
            </w:tcMar>
          </w:tcPr>
          <w:p>
            <w:pPr>
              <w:spacing w:line="264" w:lineRule="auto"/>
            </w:pPr>
            <w:r>
              <w:rPr>
                <w:rFonts w:ascii="Calibri" w:hAnsi="Calibri"/>
                <w:b/>
                <w:color w:val="0F172A"/>
                <w:sz w:val="17"/>
              </w:rPr>
              <w:t>6. RAG Grounding</w:t>
            </w:r>
          </w:p>
        </w:tc>
        <w:tc>
          <w:tcPr>
            <w:tcW w:type="dxa" w:w="1008"/>
            <w:shd w:fill="FFFFFF"/>
            <w:tcMar>
              <w:top w:w="70" w:type="dxa"/>
              <w:bottom w:w="70" w:type="dxa"/>
              <w:left w:w="90" w:type="dxa"/>
              <w:right w:w="90" w:type="dxa"/>
            </w:tcMar>
          </w:tcPr>
          <w:p>
            <w:pPr>
              <w:spacing w:line="264" w:lineRule="auto"/>
            </w:pPr>
            <w:r>
              <w:rPr>
                <w:rFonts w:ascii="Calibri" w:hAnsi="Calibri"/>
                <w:b/>
                <w:color w:val="2563EB"/>
                <w:sz w:val="17"/>
              </w:rPr>
              <w:t>10%</w:t>
            </w:r>
          </w:p>
        </w:tc>
        <w:tc>
          <w:tcPr>
            <w:tcW w:type="dxa" w:w="3168"/>
            <w:shd w:fill="FFFFFF"/>
            <w:tcMar>
              <w:top w:w="70" w:type="dxa"/>
              <w:bottom w:w="70" w:type="dxa"/>
              <w:left w:w="90" w:type="dxa"/>
              <w:right w:w="90" w:type="dxa"/>
            </w:tcMar>
          </w:tcPr>
          <w:p>
            <w:pPr>
              <w:spacing w:line="264" w:lineRule="auto"/>
            </w:pPr>
            <w:r>
              <w:rPr>
                <w:rFonts w:ascii="Calibri" w:hAnsi="Calibri"/>
                <w:color w:val="334155"/>
                <w:sz w:val="17"/>
              </w:rPr>
              <w:t>RAG_Score = round(sum(Recommendation_Scores) / count * 100)</w:t>
            </w:r>
          </w:p>
        </w:tc>
        <w:tc>
          <w:tcPr>
            <w:tcW w:type="dxa" w:w="3456"/>
            <w:shd w:fill="FFFFFF"/>
            <w:tcMar>
              <w:top w:w="70" w:type="dxa"/>
              <w:bottom w:w="70" w:type="dxa"/>
              <w:left w:w="90" w:type="dxa"/>
              <w:right w:w="90" w:type="dxa"/>
            </w:tcMar>
          </w:tcPr>
          <w:p>
            <w:pPr>
              <w:spacing w:line="264" w:lineRule="auto"/>
            </w:pPr>
            <w:r>
              <w:rPr>
                <w:rFonts w:ascii="Calibri" w:hAnsi="Calibri"/>
                <w:color w:val="334155"/>
                <w:sz w:val="17"/>
              </w:rPr>
              <w:t>Measures cosine similarity confidence of citations against Qdrant vector literature. Verified academic literature citations yield 92%.</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EFF6FF"/>
            <w:tcMar>
              <w:top w:w="140" w:type="dxa"/>
              <w:bottom w:w="140" w:type="dxa"/>
              <w:left w:w="200" w:type="dxa"/>
              <w:right w:w="200" w:type="dxa"/>
            </w:tcMar>
            <w:tcBorders>
              <w:top w:val="none"/>
              <w:left w:val="single" w:sz="24" w:space="0" w:color="2563EB"/>
              <w:bottom w:val="none"/>
              <w:right w:val="none"/>
            </w:tcBorders>
          </w:tcPr>
          <w:p>
            <w:pPr>
              <w:spacing w:before="0" w:after="60" w:line="276" w:lineRule="auto"/>
            </w:pPr>
            <w:r>
              <w:rPr>
                <w:rFonts w:ascii="Calibri" w:hAnsi="Calibri"/>
                <w:b/>
                <w:color w:val="0F172A"/>
                <w:sz w:val="21"/>
              </w:rPr>
              <w:t>Composite Overall Quality Score Formula (0 to 100)</w:t>
            </w:r>
          </w:p>
          <w:p>
            <w:pPr>
              <w:spacing w:before="40" w:after="40" w:line="276" w:lineRule="auto"/>
            </w:pPr>
            <w:r>
              <w:rPr>
                <w:rFonts w:ascii="Calibri" w:hAnsi="Calibri"/>
                <w:color w:val="334155"/>
                <w:sz w:val="19"/>
              </w:rPr>
              <w:t>Overall Score = (0.20 × Requirements) + (0.25 × Traceability) + (0.20 × Architecture) + (0.15 × DAG) + (0.10 × NFR) + (0.10 × RAG)</w:t>
            </w:r>
          </w:p>
          <w:p>
            <w:pPr>
              <w:spacing w:before="40" w:after="40" w:line="276" w:lineRule="auto"/>
            </w:pPr>
            <w:r>
              <w:rPr>
                <w:rFonts w:ascii="Calibri" w:hAnsi="Calibri"/>
                <w:color w:val="334155"/>
                <w:sz w:val="19"/>
              </w:rPr>
              <w:t>In a typical early draft: Overall = (0.20 × 95) + (0.25 × 66) + (0.20 × 65) + (0.15 × 100) + (0.10 × 60) + (0.10 × 92) = 78.7 / 100.</w:t>
            </w:r>
          </w:p>
          <w:p>
            <w:pPr>
              <w:spacing w:before="40" w:after="40" w:line="276" w:lineRule="auto"/>
            </w:pPr>
            <w:r>
              <w:rPr>
                <w:rFonts w:ascii="Calibri" w:hAnsi="Calibri"/>
                <w:color w:val="334155"/>
                <w:sz w:val="19"/>
              </w:rPr>
              <w:t>Honest Scoring Defense: Unlike naive AI tools that output fake 100% marketing scores, our platform delivers rigorous mathematical explainability with exact deduction traces showing architects what to fix to reach 95%+.</w:t>
            </w:r>
          </w:p>
        </w:tc>
      </w:tr>
    </w:tbl>
    <w:p>
      <w:pPr>
        <w:spacing w:after="80"/>
      </w:pPr>
    </w:p>
    <w:p>
      <w:pPr>
        <w:spacing w:before="160" w:after="40"/>
      </w:pPr>
      <w:r>
        <w:rPr>
          <w:rFonts w:ascii="Calibri" w:hAnsi="Calibri"/>
          <w:b/>
          <w:color w:val="1E293B"/>
          <w:sz w:val="22"/>
        </w:rPr>
        <w:t>Part B: Real-Time Observability &amp; Token Metrics (MetricsTracker)</w:t>
      </w:r>
    </w:p>
    <w:p>
      <w:pPr>
        <w:spacing w:before="40" w:after="40"/>
        <w:ind w:left="288"/>
      </w:pPr>
      <w:r>
        <w:rPr>
          <w:rFonts w:ascii="Calibri" w:hAnsi="Calibri"/>
          <w:b/>
          <w:color w:val="1E293B"/>
          <w:sz w:val="19"/>
        </w:rPr>
        <w:t xml:space="preserve">• Total LLM Calls: </w:t>
      </w:r>
      <w:r>
        <w:rPr>
          <w:rFonts w:ascii="Calibri" w:hAnsi="Calibri"/>
          <w:color w:val="334155"/>
          <w:sz w:val="19"/>
        </w:rPr>
        <w:t>Monitored per invocation across Ollama generation nodes (app/llm/factory.py).</w:t>
      </w:r>
    </w:p>
    <w:p>
      <w:pPr>
        <w:spacing w:before="40" w:after="40"/>
        <w:ind w:left="288"/>
      </w:pPr>
      <w:r>
        <w:rPr>
          <w:rFonts w:ascii="Calibri" w:hAnsi="Calibri"/>
          <w:b/>
          <w:color w:val="1E293B"/>
          <w:sz w:val="19"/>
        </w:rPr>
        <w:t xml:space="preserve">• Cache Hits &amp; Hit Rate %: </w:t>
      </w:r>
      <w:r>
        <w:rPr>
          <w:rFonts w:ascii="Calibri" w:hAnsi="Calibri"/>
          <w:color w:val="334155"/>
          <w:sz w:val="19"/>
        </w:rPr>
        <w:t>Cache Hit Rate = (Cache_Hits / Total_Requests) * 100. Prompt inputs are normalized and hashed with SHA-256 in Redis/memory. Responses are served in &lt;5ms on hit.</w:t>
      </w:r>
    </w:p>
    <w:p>
      <w:pPr>
        <w:spacing w:before="40" w:after="40"/>
        <w:ind w:left="288"/>
      </w:pPr>
      <w:r>
        <w:rPr>
          <w:rFonts w:ascii="Calibri" w:hAnsi="Calibri"/>
          <w:b/>
          <w:color w:val="1E293B"/>
          <w:sz w:val="19"/>
        </w:rPr>
        <w:t xml:space="preserve">• Estimated Token Consumption: </w:t>
      </w:r>
      <w:r>
        <w:rPr>
          <w:rFonts w:ascii="Calibri" w:hAnsi="Calibri"/>
          <w:color w:val="334155"/>
          <w:sz w:val="19"/>
        </w:rPr>
        <w:t>Computed offline without external SaaS tokenizers: Input Tokens ≈ Input Chars / 4; Output Tokens ≈ Output Chars / 4.</w:t>
      </w:r>
    </w:p>
    <w:p>
      <w:pPr>
        <w:spacing w:before="40" w:after="40"/>
        <w:ind w:left="288"/>
      </w:pPr>
      <w:r>
        <w:rPr>
          <w:rFonts w:ascii="Calibri" w:hAnsi="Calibri"/>
          <w:b/>
          <w:color w:val="1E293B"/>
          <w:sz w:val="19"/>
        </w:rPr>
        <w:t xml:space="preserve">• Estimated Tokens Saved: </w:t>
      </w:r>
      <w:r>
        <w:rPr>
          <w:rFonts w:ascii="Calibri" w:hAnsi="Calibri"/>
          <w:color w:val="334155"/>
          <w:sz w:val="19"/>
        </w:rPr>
        <w:t>When a cache hit occurs, the cached payload character length is divided by 4 (typically saving 500 to 2,000 tokens per cached prompt).</w:t>
      </w:r>
    </w:p>
    <w:p>
      <w:pPr>
        <w:spacing w:before="40" w:after="40"/>
        <w:ind w:left="288"/>
      </w:pPr>
      <w:r>
        <w:rPr>
          <w:rFonts w:ascii="Calibri" w:hAnsi="Calibri"/>
          <w:b/>
          <w:color w:val="1E293B"/>
          <w:sz w:val="19"/>
        </w:rPr>
        <w:t xml:space="preserve">• Average LLM Latency: </w:t>
      </w:r>
      <w:r>
        <w:rPr>
          <w:rFonts w:ascii="Calibri" w:hAnsi="Calibri"/>
          <w:color w:val="334155"/>
          <w:sz w:val="19"/>
        </w:rPr>
        <w:t>Avg Latency = (Total Latency ms / Total LLM Calls). Tracked with sub-millisecond precision stopwatches.</w:t>
      </w:r>
    </w:p>
    <w:p>
      <w:pPr>
        <w:spacing w:before="40" w:after="40"/>
        <w:ind w:left="288"/>
      </w:pPr>
      <w:r>
        <w:rPr>
          <w:rFonts w:ascii="Calibri" w:hAnsi="Calibri"/>
          <w:b/>
          <w:color w:val="1E293B"/>
          <w:sz w:val="19"/>
        </w:rPr>
        <w:t xml:space="preserve">• Pipeline Execution Breakdown: </w:t>
      </w:r>
      <w:r>
        <w:rPr>
          <w:rFonts w:ascii="Calibri" w:hAnsi="Calibri"/>
          <w:color w:val="334155"/>
          <w:sz w:val="19"/>
        </w:rPr>
        <w:t>Stopwatch durations tracked individually for: RequirementAgent (~2.5s), PlanningAgent (~3.0s), ArchitectureAgent (~3.8s), RAGAgent (~0.6s), and ValidationAgent (~0.2s).</w:t>
      </w:r>
    </w:p>
    <w:p>
      <w:pPr>
        <w:spacing w:after="120"/>
      </w:pPr>
    </w:p>
    <w:p>
      <w:pPr>
        <w:spacing w:before="280" w:after="80"/>
      </w:pPr>
      <w:r>
        <w:rPr>
          <w:rFonts w:ascii="Calibri" w:hAnsi="Calibri"/>
          <w:b/>
          <w:color w:val="0F172A"/>
          <w:sz w:val="28"/>
        </w:rPr>
        <w:t>4. REQUIREMENT AGENT RICE &amp; MOSCOW CODE IMPLEMENTATION</w:t>
      </w:r>
    </w:p>
    <w:p>
      <w:pPr>
        <w:spacing w:before="40" w:after="80"/>
      </w:pPr>
      <w:r>
        <w:rPr>
          <w:rFonts w:ascii="Calibri" w:hAnsi="Calibri"/>
          <w:color w:val="334155"/>
          <w:sz w:val="19"/>
        </w:rPr>
        <w:t>Below is the exact code from app/agents/requirement_agent.py (lines 38 to 65) demonstrating how the Requirement Analysis Agent prompts the LLM to elicit both qualitative MoSCoW prioritization and quantitative RICE framework scores, and how it executes automatic backlog rank ordering:</w:t>
      </w:r>
    </w:p>
    <w:tbl>
      <w:tblPr>
        <w:tblW w:type="auto" w:w="0"/>
        <w:jc w:val="center"/>
        <w:tblLayout w:type="fixed"/>
        <w:tblLook w:firstColumn="1" w:firstRow="1" w:lastColumn="0" w:lastRow="0" w:noHBand="0" w:noVBand="1" w:val="04A0"/>
      </w:tblPr>
      <w:tblGrid>
        <w:gridCol w:w="9792"/>
      </w:tblGrid>
      <w:tr>
        <w:tc>
          <w:tcPr>
            <w:tcW w:type="dxa" w:w="9936"/>
            <w:shd w:fill="F8FAFC"/>
            <w:tcMar>
              <w:top w:w="120" w:type="dxa"/>
              <w:bottom w:w="120" w:type="dxa"/>
              <w:left w:w="160" w:type="dxa"/>
              <w:right w:w="160" w:type="dxa"/>
            </w:tcMar>
            <w:tcBorders>
              <w:top w:val="single" w:sz="6" w:space="0" w:color="CBD5E1"/>
              <w:left w:val="single" w:sz="18" w:space="0" w:color="3B82F6"/>
              <w:bottom w:val="single" w:sz="6" w:space="0" w:color="CBD5E1"/>
              <w:right w:val="single" w:sz="6" w:space="0" w:color="CBD5E1"/>
            </w:tcBorders>
          </w:tcPr>
          <w:p>
            <w:pPr>
              <w:spacing w:before="0" w:after="0" w:line="252" w:lineRule="auto"/>
            </w:pPr>
            <w:r>
              <w:rPr>
                <w:rFonts w:ascii="Consolas" w:hAnsi="Consolas"/>
                <w:color w:val="0F172A"/>
                <w:sz w:val="17"/>
              </w:rPr>
              <w:t># app/agents/requirement_agent.py (lines 38-65)</w:t>
              <w:br/>
              <w:br/>
              <w:t>def generate_requirements(project_idea: str) -&gt; RequirementAnalysis:</w:t>
              <w:br/>
              <w:t xml:space="preserve">    """Analyze a project idea and return structured RequirementAnalysis with MoSCoW and RICE scores."""</w:t>
              <w:br/>
              <w:t xml:space="preserve">    if not project_idea or not project_idea.strip():</w:t>
              <w:br/>
              <w:t xml:space="preserve">        raise ValueError("Project idea cannot be empty.")</w:t>
              <w:br/>
              <w:br/>
              <w:t xml:space="preserve">    prompt_content = f"""Analyze this software project idea and output a valid JSON object matching this exact schema:</w:t>
              <w:br/>
              <w:br/>
              <w:t>JSON Schema:</w:t>
              <w:br/>
              <w:t>{{</w:t>
              <w:br/>
              <w:t xml:space="preserve">  "project_name": "string",</w:t>
              <w:br/>
              <w:t xml:space="preserve">  "project_description": "string",</w:t>
              <w:br/>
              <w:t xml:space="preserve">  "stakeholders": [</w:t>
              <w:br/>
              <w:t xml:space="preserve">    {{"id": "ST-001", "name": "string", "description": "string"}}</w:t>
              <w:br/>
              <w:t xml:space="preserve">  ],</w:t>
              <w:br/>
              <w:t xml:space="preserve">  "functional_requirements": [</w:t>
              <w:br/>
              <w:t xml:space="preserve">    {{</w:t>
              <w:br/>
              <w:t xml:space="preserve">      "id": "FR-001",</w:t>
              <w:br/>
              <w:t xml:space="preserve">      "title": "string",</w:t>
              <w:br/>
              <w:t xml:space="preserve">      "description": "string",</w:t>
              <w:br/>
              <w:t xml:space="preserve">      "priority": "Must",</w:t>
              <w:br/>
              <w:t xml:space="preserve">      "stakeholders": ["ST-001"],</w:t>
              <w:br/>
              <w:t xml:space="preserve">      "rice": {{</w:t>
              <w:br/>
              <w:t xml:space="preserve">        "reach": 5000,</w:t>
              <w:br/>
              <w:t xml:space="preserve">        "impact": 2.0,</w:t>
              <w:br/>
              <w:t xml:space="preserve">        "confidence": 0.8,</w:t>
              <w:br/>
              <w:t xml:space="preserve">        "effort": 1.5</w:t>
              <w:br/>
              <w:t xml:space="preserve">      }}</w:t>
              <w:br/>
              <w:t xml:space="preserve">    }}</w:t>
              <w:br/>
              <w:t xml:space="preserve">  ],</w:t>
              <w:br/>
              <w:t xml:space="preserve">  "non_functional_requirements": [</w:t>
              <w:br/>
              <w:t xml:space="preserve">    {{"id": "NFR-001", "category": "Performance", "description": "string", "metric": "Latency &lt; 200ms"}}</w:t>
              <w:br/>
              <w:t xml:space="preserve">  ],</w:t>
              <w:br/>
              <w:t xml:space="preserve">  "constraints": ["string"],</w:t>
              <w:br/>
              <w:t xml:space="preserve">  "ambiguities": ["string"]</w:t>
              <w:br/>
              <w:t>}}</w:t>
              <w:br/>
              <w:br/>
              <w:t>Project Idea:</w:t>
              <w:br/>
              <w:t>{project_idea}</w:t>
              <w:br/>
              <w:t>"""</w:t>
              <w:br/>
              <w:br/>
              <w:t xml:space="preserve">    messages = [</w:t>
              <w:br/>
              <w:t xml:space="preserve">        SystemMessage(content=REQUIREMENT_SYSTEM_PROMPT),</w:t>
              <w:br/>
              <w:t xml:space="preserve">        HumanMessage(content=prompt_content),</w:t>
              <w:br/>
              <w:t xml:space="preserve">    ]</w:t>
              <w:br/>
              <w:br/>
              <w:t xml:space="preserve">    # Structured Pydantic v2 invocation with fuzzy sanitization</w:t>
              <w:br/>
              <w:t xml:space="preserve">    analysis = invoke_structured(messages, RequirementAnalysis)</w:t>
              <w:br/>
              <w:t xml:space="preserve">    </w:t>
              <w:br/>
              <w:t xml:space="preserve">    # Deterministic Post-Processing: Compute RICE score and rank backlog descending</w:t>
              <w:br/>
              <w:t xml:space="preserve">    analysis.populate_and_rank_rice_scores()</w:t>
              <w:br/>
              <w:t xml:space="preserve">    return analysis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EFF6FF"/>
            <w:tcMar>
              <w:top w:w="140" w:type="dxa"/>
              <w:bottom w:w="140" w:type="dxa"/>
              <w:left w:w="200" w:type="dxa"/>
              <w:right w:w="200" w:type="dxa"/>
            </w:tcMar>
            <w:tcBorders>
              <w:top w:val="none"/>
              <w:left w:val="single" w:sz="24" w:space="0" w:color="2563EB"/>
              <w:bottom w:val="none"/>
              <w:right w:val="none"/>
            </w:tcBorders>
          </w:tcPr>
          <w:p>
            <w:pPr>
              <w:spacing w:before="0" w:after="60" w:line="276" w:lineRule="auto"/>
            </w:pPr>
            <w:r>
              <w:rPr>
                <w:rFonts w:ascii="Calibri" w:hAnsi="Calibri"/>
                <w:b/>
                <w:color w:val="0F172A"/>
                <w:sz w:val="21"/>
              </w:rPr>
              <w:t>Code Walkthrough &amp; Mathematical Guarantees</w:t>
            </w:r>
          </w:p>
          <w:p>
            <w:pPr>
              <w:spacing w:before="40" w:after="40" w:line="276" w:lineRule="auto"/>
            </w:pPr>
            <w:r>
              <w:rPr>
                <w:rFonts w:ascii="Calibri" w:hAnsi="Calibri"/>
                <w:color w:val="334155"/>
                <w:sz w:val="19"/>
              </w:rPr>
              <w:t>1. Dual Prioritization (Lines 56-65): Notice that each requirement defines both qualitative MoSCoW priority ('Must', 'Should', 'Could', 'Won't') AND quantitative RICE parameters (reach, impact, confidence, effort).</w:t>
            </w:r>
          </w:p>
          <w:p>
            <w:pPr>
              <w:spacing w:before="40" w:after="40" w:line="276" w:lineRule="auto"/>
            </w:pPr>
            <w:r>
              <w:rPr>
                <w:rFonts w:ascii="Calibri" w:hAnsi="Calibri"/>
                <w:color w:val="334155"/>
                <w:sz w:val="19"/>
              </w:rPr>
              <w:t>2. RICE Formula: RICE Score = (Reach × Impact × Confidence) / Effort. Reach is monthly affected users (e.g. 5,000), Impact is business goal contribution (0.25 to 3.0), Confidence is data certainty (0.5 to 1.0), and Effort is person-months (clamped to &gt;= 0.1 to prevent division by zero).</w:t>
            </w:r>
          </w:p>
          <w:p>
            <w:pPr>
              <w:spacing w:before="40" w:after="40" w:line="276" w:lineRule="auto"/>
            </w:pPr>
            <w:r>
              <w:rPr>
                <w:rFonts w:ascii="Calibri" w:hAnsi="Calibri"/>
                <w:color w:val="334155"/>
                <w:sz w:val="19"/>
              </w:rPr>
              <w:t>3. Deterministic Post-Processing (populate_and_rank_rice_scores): Even if the LLM hallucinates inconsistent math, the post-processing method re-computes all RICE scores using pure Python arithmetic and automatically sorts the requirements backlog in descending order of score, assigning ranks #1, #2, #3 objectively.</w:t>
            </w:r>
          </w:p>
        </w:tc>
      </w:tr>
    </w:tbl>
    <w:p>
      <w:pPr>
        <w:spacing w:after="80"/>
      </w:pPr>
    </w:p>
    <w:p>
      <w:pPr>
        <w:spacing w:after="120"/>
      </w:pPr>
    </w:p>
    <w:p>
      <w:pPr>
        <w:spacing w:before="280" w:after="80"/>
      </w:pPr>
      <w:r>
        <w:rPr>
          <w:rFonts w:ascii="Calibri" w:hAnsi="Calibri"/>
          <w:b/>
          <w:color w:val="0F172A"/>
          <w:sz w:val="28"/>
        </w:rPr>
        <w:t>5. TRICKY REVIEW &amp; VIVA INTERVIEW QUESTIONS (WITH MODEL ANSWERS)</w:t>
      </w:r>
    </w:p>
    <w:tbl>
      <w:tblPr>
        <w:tblW w:type="auto" w:w="0"/>
        <w:jc w:val="center"/>
        <w:tblLayout w:type="fixed"/>
        <w:tblLook w:firstColumn="1" w:firstRow="1" w:lastColumn="0" w:lastRow="0" w:noHBand="0" w:noVBand="1" w:val="04A0"/>
      </w:tblPr>
      <w:tblGrid>
        <w:gridCol w:w="9792"/>
      </w:tblGrid>
      <w:tr>
        <w:tc>
          <w:tcPr>
            <w:tcW w:type="dxa" w:w="9936"/>
            <w:shd w:fill="F1F5F9"/>
            <w:tcMar>
              <w:top w:w="70" w:type="dxa"/>
              <w:bottom w:w="70" w:type="dxa"/>
              <w:left w:w="110" w:type="dxa"/>
              <w:right w:w="110" w:type="dxa"/>
            </w:tcMar>
            <w:tcBorders>
              <w:top w:val="single" w:sz="6" w:color="CBD5E1"/>
              <w:left w:val="single" w:sz="14" w:color="2563EB"/>
              <w:bottom w:val="single" w:sz="6" w:color="CBD5E1"/>
              <w:right w:val="single" w:sz="6" w:color="CBD5E1"/>
            </w:tcBorders>
          </w:tcPr>
          <w:p>
            <w:pPr>
              <w:spacing w:before="0" w:after="0" w:line="276" w:lineRule="auto"/>
            </w:pPr>
            <w:r>
              <w:rPr>
                <w:rFonts w:ascii="Calibri" w:hAnsi="Calibri"/>
                <w:b/>
                <w:color w:val="0F172A"/>
                <w:sz w:val="19"/>
              </w:rPr>
              <w:t>Q1: Why do you need deterministic validation? Why not just ask GPT-4 or Claude to validate the architecture blueprint?</w:t>
            </w:r>
          </w:p>
        </w:tc>
      </w:tr>
      <w:tr>
        <w:tc>
          <w:tcPr>
            <w:tcW w:type="dxa" w:w="9936"/>
            <w:shd w:fill="FFFFFF"/>
            <w:tcMar>
              <w:top w:w="80" w:type="dxa"/>
              <w:bottom w:w="80" w:type="dxa"/>
              <w:left w:w="110" w:type="dxa"/>
              <w:right w:w="110" w:type="dxa"/>
            </w:tcMar>
            <w:tcBorders>
              <w:top w:val="none"/>
              <w:left w:val="single" w:sz="14" w:color="2563EB"/>
              <w:bottom w:val="single" w:sz="6" w:color="CBD5E1"/>
              <w:right w:val="single" w:sz="6" w:color="CBD5E1"/>
            </w:tcBorders>
          </w:tcPr>
          <w:p>
            <w:pPr>
              <w:spacing w:before="0" w:after="0" w:line="276" w:lineRule="auto"/>
            </w:pPr>
            <w:r>
              <w:rPr>
                <w:rFonts w:ascii="Calibri" w:hAnsi="Calibri"/>
                <w:color w:val="334155"/>
                <w:sz w:val="18"/>
              </w:rPr>
              <w:t>Model Answer: Using an LLM to evaluate an LLM creates an ungrounded hallucination feedback loop. LLMs are notorious for failing at graph cycle detection (e.g., circular dependencies in task schedules), arithmetic validation, and orphan node verification. Our platform enforces Deterministic-First Validation: NetworkX verifies graph acyclicity in O(V + E) time, Pydantic v2 Rust core validates schema contracts, and set theory verifies forward/backward traceability. The LLM is only used for high-level qualitative advisory recommendations, ensuring 100% mathematical soundness.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1F5F9"/>
            <w:tcMar>
              <w:top w:w="70" w:type="dxa"/>
              <w:bottom w:w="70" w:type="dxa"/>
              <w:left w:w="110" w:type="dxa"/>
              <w:right w:w="110" w:type="dxa"/>
            </w:tcMar>
            <w:tcBorders>
              <w:top w:val="single" w:sz="6" w:color="CBD5E1"/>
              <w:left w:val="single" w:sz="14" w:color="2563EB"/>
              <w:bottom w:val="single" w:sz="6" w:color="CBD5E1"/>
              <w:right w:val="single" w:sz="6" w:color="CBD5E1"/>
            </w:tcBorders>
          </w:tcPr>
          <w:p>
            <w:pPr>
              <w:spacing w:before="0" w:after="0" w:line="276" w:lineRule="auto"/>
            </w:pPr>
            <w:r>
              <w:rPr>
                <w:rFonts w:ascii="Calibri" w:hAnsi="Calibri"/>
                <w:b/>
                <w:color w:val="0F172A"/>
                <w:sz w:val="19"/>
              </w:rPr>
              <w:t>Q2: Why are Traceability scored at 66% and Architecture at 65% in initial drafts? Does that mean the generation failed?</w:t>
            </w:r>
          </w:p>
        </w:tc>
      </w:tr>
      <w:tr>
        <w:tc>
          <w:tcPr>
            <w:tcW w:type="dxa" w:w="9936"/>
            <w:shd w:fill="FFFFFF"/>
            <w:tcMar>
              <w:top w:w="80" w:type="dxa"/>
              <w:bottom w:w="80" w:type="dxa"/>
              <w:left w:w="110" w:type="dxa"/>
              <w:right w:w="110" w:type="dxa"/>
            </w:tcMar>
            <w:tcBorders>
              <w:top w:val="none"/>
              <w:left w:val="single" w:sz="14" w:color="2563EB"/>
              <w:bottom w:val="single" w:sz="6" w:color="CBD5E1"/>
              <w:right w:val="single" w:sz="6" w:color="CBD5E1"/>
            </w:tcBorders>
          </w:tcPr>
          <w:p>
            <w:pPr>
              <w:spacing w:before="0" w:after="0" w:line="276" w:lineRule="auto"/>
            </w:pPr>
            <w:r>
              <w:rPr>
                <w:rFonts w:ascii="Calibri" w:hAnsi="Calibri"/>
                <w:color w:val="334155"/>
                <w:sz w:val="18"/>
              </w:rPr>
              <w:t>Model Answer: Absolutely not. This proves our validation engine is rigorous and honest rather than outputting fake 100% marketing numbers. In Module 5, Traceability (66%) is mathematically computed as: (Task_Coverage_% + Arch_Coverage_%) / 2. In early generation passes, auxiliary utility components often lack direct 1-to-1 links to functional requirements. Our system generates explicit deduction traces showing architects exactly which requirements need component mappings to achieve 95%+.</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1F5F9"/>
            <w:tcMar>
              <w:top w:w="70" w:type="dxa"/>
              <w:bottom w:w="70" w:type="dxa"/>
              <w:left w:w="110" w:type="dxa"/>
              <w:right w:w="110" w:type="dxa"/>
            </w:tcMar>
            <w:tcBorders>
              <w:top w:val="single" w:sz="6" w:color="CBD5E1"/>
              <w:left w:val="single" w:sz="14" w:color="2563EB"/>
              <w:bottom w:val="single" w:sz="6" w:color="CBD5E1"/>
              <w:right w:val="single" w:sz="6" w:color="CBD5E1"/>
            </w:tcBorders>
          </w:tcPr>
          <w:p>
            <w:pPr>
              <w:spacing w:before="0" w:after="0" w:line="276" w:lineRule="auto"/>
            </w:pPr>
            <w:r>
              <w:rPr>
                <w:rFonts w:ascii="Calibri" w:hAnsi="Calibri"/>
                <w:b/>
                <w:color w:val="0F172A"/>
                <w:sz w:val="19"/>
              </w:rPr>
              <w:t>Q3: How do you detect and resolve circular dependencies in the generated engineering roadmap?</w:t>
            </w:r>
          </w:p>
        </w:tc>
      </w:tr>
      <w:tr>
        <w:tc>
          <w:tcPr>
            <w:tcW w:type="dxa" w:w="9936"/>
            <w:shd w:fill="FFFFFF"/>
            <w:tcMar>
              <w:top w:w="80" w:type="dxa"/>
              <w:bottom w:w="80" w:type="dxa"/>
              <w:left w:w="110" w:type="dxa"/>
              <w:right w:w="110" w:type="dxa"/>
            </w:tcMar>
            <w:tcBorders>
              <w:top w:val="none"/>
              <w:left w:val="single" w:sz="14" w:color="2563EB"/>
              <w:bottom w:val="single" w:sz="6" w:color="CBD5E1"/>
              <w:right w:val="single" w:sz="6" w:color="CBD5E1"/>
            </w:tcBorders>
          </w:tcPr>
          <w:p>
            <w:pPr>
              <w:spacing w:before="0" w:after="0" w:line="276" w:lineRule="auto"/>
            </w:pPr>
            <w:r>
              <w:rPr>
                <w:rFonts w:ascii="Calibri" w:hAnsi="Calibri"/>
                <w:color w:val="334155"/>
                <w:sz w:val="18"/>
              </w:rPr>
              <w:t>Model Answer: We compile task prerequisite dependencies into a directed graph (nx.DiGraph) and call nx.is_directed_acyclic_graph(). If cycles are detected, Johnson's algorithm (nx.simple_cycles) pinpoints the exact cyclic loop (e.g., Task A -&gt; Task B -&gt; Task A). The platform then suggests automated cycle-breaking architectural refactorings: (1) Dependency Inversion (introducing an abstract interface), (2) Extracting shared state into a third utility module, or (3) Decoupling via asynchronous event queues.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1F5F9"/>
            <w:tcMar>
              <w:top w:w="70" w:type="dxa"/>
              <w:bottom w:w="70" w:type="dxa"/>
              <w:left w:w="110" w:type="dxa"/>
              <w:right w:w="110" w:type="dxa"/>
            </w:tcMar>
            <w:tcBorders>
              <w:top w:val="single" w:sz="6" w:color="CBD5E1"/>
              <w:left w:val="single" w:sz="14" w:color="2563EB"/>
              <w:bottom w:val="single" w:sz="6" w:color="CBD5E1"/>
              <w:right w:val="single" w:sz="6" w:color="CBD5E1"/>
            </w:tcBorders>
          </w:tcPr>
          <w:p>
            <w:pPr>
              <w:spacing w:before="0" w:after="0" w:line="276" w:lineRule="auto"/>
            </w:pPr>
            <w:r>
              <w:rPr>
                <w:rFonts w:ascii="Calibri" w:hAnsi="Calibri"/>
                <w:b/>
                <w:color w:val="0F172A"/>
                <w:sz w:val="19"/>
              </w:rPr>
              <w:t>Q4: What is the benefit of implementing both MoSCoW and RICE algorithms for requirements engineering?</w:t>
            </w:r>
          </w:p>
        </w:tc>
      </w:tr>
      <w:tr>
        <w:tc>
          <w:tcPr>
            <w:tcW w:type="dxa" w:w="9936"/>
            <w:shd w:fill="FFFFFF"/>
            <w:tcMar>
              <w:top w:w="80" w:type="dxa"/>
              <w:bottom w:w="80" w:type="dxa"/>
              <w:left w:w="110" w:type="dxa"/>
              <w:right w:w="110" w:type="dxa"/>
            </w:tcMar>
            <w:tcBorders>
              <w:top w:val="none"/>
              <w:left w:val="single" w:sz="14" w:color="2563EB"/>
              <w:bottom w:val="single" w:sz="6" w:color="CBD5E1"/>
              <w:right w:val="single" w:sz="6" w:color="CBD5E1"/>
            </w:tcBorders>
          </w:tcPr>
          <w:p>
            <w:pPr>
              <w:spacing w:before="0" w:after="0" w:line="276" w:lineRule="auto"/>
            </w:pPr>
            <w:r>
              <w:rPr>
                <w:rFonts w:ascii="Calibri" w:hAnsi="Calibri"/>
                <w:color w:val="334155"/>
                <w:sz w:val="18"/>
              </w:rPr>
              <w:t>Model Answer: Relying exclusively on qualitative MoSCoW prioritization leads to 'priority inflation', where stakeholders label 90% of features as 'Must Have'. By combining MoSCoW with the quantitative RICE framework (Reach × Impact × Confidence / Effort), our system brings empirical objectivity to backlog ranking. Features are deterministically sorted from rank #1 downwards, allowing engineering leads to defend roadmap trade-offs with hard mathematical data while still respecting qualitative release cutoffs.</w:t>
            </w:r>
          </w:p>
        </w:tc>
      </w:tr>
    </w:tbl>
    <w:p>
      <w:pPr>
        <w:spacing w:after="80"/>
      </w:pPr>
    </w:p>
    <w:tbl>
      <w:tblPr>
        <w:tblW w:type="auto" w:w="0"/>
        <w:jc w:val="center"/>
        <w:tblLayout w:type="fixed"/>
        <w:tblLook w:firstColumn="1" w:firstRow="1" w:lastColumn="0" w:lastRow="0" w:noHBand="0" w:noVBand="1" w:val="04A0"/>
      </w:tblPr>
      <w:tblGrid>
        <w:gridCol w:w="9792"/>
      </w:tblGrid>
      <w:tr>
        <w:tc>
          <w:tcPr>
            <w:tcW w:type="dxa" w:w="9936"/>
            <w:shd w:fill="F1F5F9"/>
            <w:tcMar>
              <w:top w:w="70" w:type="dxa"/>
              <w:bottom w:w="70" w:type="dxa"/>
              <w:left w:w="110" w:type="dxa"/>
              <w:right w:w="110" w:type="dxa"/>
            </w:tcMar>
            <w:tcBorders>
              <w:top w:val="single" w:sz="6" w:color="CBD5E1"/>
              <w:left w:val="single" w:sz="14" w:color="2563EB"/>
              <w:bottom w:val="single" w:sz="6" w:color="CBD5E1"/>
              <w:right w:val="single" w:sz="6" w:color="CBD5E1"/>
            </w:tcBorders>
          </w:tcPr>
          <w:p>
            <w:pPr>
              <w:spacing w:before="0" w:after="0" w:line="276" w:lineRule="auto"/>
            </w:pPr>
            <w:r>
              <w:rPr>
                <w:rFonts w:ascii="Calibri" w:hAnsi="Calibri"/>
                <w:b/>
                <w:color w:val="0F172A"/>
                <w:sz w:val="19"/>
              </w:rPr>
              <w:t>Q5: How does your JSON extraction layer prevent LLM formatting crashes?</w:t>
            </w:r>
          </w:p>
        </w:tc>
      </w:tr>
      <w:tr>
        <w:tc>
          <w:tcPr>
            <w:tcW w:type="dxa" w:w="9936"/>
            <w:shd w:fill="FFFFFF"/>
            <w:tcMar>
              <w:top w:w="80" w:type="dxa"/>
              <w:bottom w:w="80" w:type="dxa"/>
              <w:left w:w="110" w:type="dxa"/>
              <w:right w:w="110" w:type="dxa"/>
            </w:tcMar>
            <w:tcBorders>
              <w:top w:val="none"/>
              <w:left w:val="single" w:sz="14" w:color="2563EB"/>
              <w:bottom w:val="single" w:sz="6" w:color="CBD5E1"/>
              <w:right w:val="single" w:sz="6" w:color="CBD5E1"/>
            </w:tcBorders>
          </w:tcPr>
          <w:p>
            <w:pPr>
              <w:spacing w:before="0" w:after="0" w:line="276" w:lineRule="auto"/>
            </w:pPr>
            <w:r>
              <w:rPr>
                <w:rFonts w:ascii="Calibri" w:hAnsi="Calibri"/>
                <w:color w:val="334155"/>
                <w:sz w:val="18"/>
              </w:rPr>
              <w:t>Model Answer: Our extract_json_from_text() function executes a 3-step defensive recovery sequence: (1) Strips markdown fences, (2) Uses regex to extract only the outermost matching braces { ... }, discarding conversational preamble, and (3) Applies heuristic regex repairs to strip trailing commas and unescaped control characters before parsing. Finally, keys are normalized to snake_case, ensuring seamless compatibility with Pydantic v2 data models.</w:t>
            </w:r>
          </w:p>
        </w:tc>
      </w:tr>
    </w:tbl>
    <w:p>
      <w:pPr>
        <w:spacing w:after="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6"/>
      </w:rPr>
      <w:t>Confidential — Technical Review &amp; Architecture Defense Dossier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SOFTWARE BLUEPRINT AI — METRICS CALCULATION, LLM VALIDATION &amp; VALIDATION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