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vAlign w:val="center"/>
          </w:tcPr>
          <w:p>
            <w:pPr>
              <w:spacing w:after="60" w:before="280"/>
              <w:jc w:val="center"/>
            </w:pPr>
            <w:r>
              <w:rPr>
                <w:rFonts w:ascii="Arial" w:cs="Arial" w:eastAsia="Arial" w:hAnsi="Arial"/>
                <w:b/>
                <w:bCs/>
                <w:i w:val="false"/>
                <w:iCs w:val="false"/>
                <w:color w:val="FFF3DC"/>
                <w:sz w:val="20"/>
                <w:szCs w:val="20"/>
              </w:rPr>
              <w:t xml:space="preserve">ICICI WEALTH ADVISORY</w:t>
            </w:r>
          </w:p>
          <w:p>
            <w:pPr>
              <w:spacing w:after="60" w:before="0"/>
              <w:jc w:val="center"/>
            </w:pPr>
            <w:r>
              <w:rPr>
                <w:rFonts w:ascii="Arial" w:cs="Arial" w:eastAsia="Arial" w:hAnsi="Arial"/>
                <w:b/>
                <w:bCs/>
                <w:i w:val="false"/>
                <w:iCs w:val="false"/>
                <w:color w:val="FFFFFF"/>
                <w:sz w:val="42"/>
                <w:szCs w:val="42"/>
              </w:rPr>
              <w:t xml:space="preserve">HNI Portfolio Advisory Project</w:t>
            </w:r>
          </w:p>
          <w:p>
            <w:pPr>
              <w:spacing w:after="60" w:before="0"/>
              <w:jc w:val="center"/>
            </w:pPr>
            <w:r>
              <w:rPr>
                <w:rFonts w:ascii="Arial" w:cs="Arial" w:eastAsia="Arial" w:hAnsi="Arial"/>
                <w:b/>
                <w:bCs/>
                <w:i w:val="false"/>
                <w:iCs w:val="false"/>
                <w:color w:val="FFF3DC"/>
                <w:sz w:val="22"/>
                <w:szCs w:val="22"/>
              </w:rPr>
              <w:t xml:space="preserve">Phases 4 — 7: IPS · Wealth Projection · Advisory Memos · Executive Insight</w:t>
            </w:r>
          </w:p>
          <w:p>
            <w:pPr>
              <w:spacing w:after="280" w:before="0"/>
              <w:jc w:val="center"/>
            </w:pPr>
            <w:r>
              <w:rPr>
                <w:rFonts w:ascii="Arial" w:cs="Arial" w:eastAsia="Arial" w:hAnsi="Arial"/>
                <w:b w:val="false"/>
                <w:bCs w:val="false"/>
                <w:i/>
                <w:iCs/>
                <w:color w:val="AABBCC"/>
                <w:sz w:val="20"/>
                <w:szCs w:val="20"/>
              </w:rPr>
              <w:t xml:space="preserve">A Complete End-to-End Wealth Management Deliverable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Prepared by</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SRX  |  PGP MBA (Finance), BIM Trichy</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Project Title</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HNI Wealth Persona &amp; Asset Allocation Simulator</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Target Role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Wealth Management / Portfolio Advisory — ICICI Bank Campus Recruitment</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Regulatory Basis</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SEBI Investment Adviser Regulations 2013  |  PMLA 2002  |  FEMA</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Document Scope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Investment Policy Statement (IPS) · 10-Year Wealth Projection · Pre-Meeting Advisory Memos · Executive Summary &amp; Key Insight</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Client Personas</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Arjun Mehta (Mod. Aggressive, ₹2.5 Cr)  |  Suresh Rajan (Conservative, ₹6 Cr)  |  Priya Kapoor (Moderate, ₹4 Cr)</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Document Version</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1.0  |  June 2025  |  Confidential — For Advisory Use Only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Phase 4</w:t>
            </w:r>
          </w:p>
        </w:tc>
        <w:tc>
          <w:tcPr>
            <w:tcW w:type="dxa" w:w="234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Phase 5</w:t>
            </w:r>
          </w:p>
        </w:tc>
        <w:tc>
          <w:tcPr>
            <w:tcW w:type="dxa" w:w="2340"/>
            <w:tcBorders>
              <w:top w:val="single" w:color="B86A00" w:sz="6"/>
              <w:left w:val="single" w:color="B86A00" w:sz="6"/>
              <w:bottom w:val="single" w:color="B86A00" w:sz="6"/>
              <w:right w:val="single" w:color="B86A00" w:sz="6"/>
            </w:tcBorders>
            <w:shd w:fill="B86A00"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Phase 6</w:t>
            </w:r>
          </w:p>
        </w:tc>
        <w:tc>
          <w:tcPr>
            <w:tcW w:type="dxa" w:w="2340"/>
            <w:tcBorders>
              <w:top w:val="single" w:color="C8962E" w:sz="6"/>
              <w:left w:val="single" w:color="C8962E" w:sz="6"/>
              <w:bottom w:val="single" w:color="C8962E" w:sz="6"/>
              <w:right w:val="single" w:color="C8962E" w:sz="6"/>
            </w:tcBorders>
            <w:shd w:fill="C8962E"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111111"/>
                <w:sz w:val="20"/>
                <w:szCs w:val="20"/>
              </w:rPr>
              <w:t xml:space="preserve">Phase 7</w:t>
            </w:r>
          </w:p>
        </w:tc>
      </w:tr>
      <w:tr>
        <w:tc>
          <w:tcPr>
            <w:tcW w:type="dxa" w:w="234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Investment Policy Statement</w:t>
            </w:r>
          </w:p>
        </w:tc>
        <w:tc>
          <w:tcPr>
            <w:tcW w:type="dxa" w:w="2340"/>
            <w:tcBorders>
              <w:top w:val="single" w:color="C8D0DC" w:sz="4"/>
              <w:left w:val="single" w:color="C8D0DC" w:sz="4"/>
              <w:bottom w:val="single" w:color="C8D0DC" w:sz="4"/>
              <w:right w:val="single" w:color="C8D0DC" w:sz="4"/>
            </w:tcBorders>
            <w:shd w:fill="D4EDE8"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10-Year Wealth Projection</w:t>
            </w:r>
          </w:p>
        </w:tc>
        <w:tc>
          <w:tcPr>
            <w:tcW w:type="dxa" w:w="2340"/>
            <w:tcBorders>
              <w:top w:val="single" w:color="C8D0DC" w:sz="4"/>
              <w:left w:val="single" w:color="C8D0DC" w:sz="4"/>
              <w:bottom w:val="single" w:color="C8D0DC" w:sz="4"/>
              <w:right w:val="single" w:color="C8D0DC" w:sz="4"/>
            </w:tcBorders>
            <w:shd w:fill="FFF3D4"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Pre-Meeting Advisory Memos</w:t>
            </w:r>
          </w:p>
        </w:tc>
        <w:tc>
          <w:tcPr>
            <w:tcW w:type="dxa" w:w="2340"/>
            <w:tcBorders>
              <w:top w:val="single" w:color="C8D0DC" w:sz="4"/>
              <w:left w:val="single" w:color="C8D0DC" w:sz="4"/>
              <w:bottom w:val="single" w:color="C8D0DC" w:sz="4"/>
              <w:right w:val="single" w:color="C8D0DC" w:sz="4"/>
            </w:tcBorders>
            <w:shd w:fill="FFF3D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Executive Summary &amp; Key Insight</w:t>
            </w:r>
          </w:p>
        </w:tc>
      </w:tr>
    </w:tbl>
    <w:p>
      <w:pPr>
        <w:spacing w:after="80" w:before="80"/>
        <w:jc w:val="left"/>
      </w:pPr>
      <w:r>
        <w:br w:type="page"/>
      </w:r>
    </w:p>
    <w:p>
      <w:pPr>
        <w:spacing w:after="0" w:before="200"/>
      </w:pPr>
      <w:r>
        <w:t xml:space="preserve"/>
      </w:r>
    </w:p>
    <w:p>
      <w:pPr>
        <w:pBdr>
          <w:bottom w:val="single" w:color="C8962E" w:sz="8" w:space="3"/>
        </w:pBdr>
        <w:spacing w:after="0" w:before="0"/>
      </w:pPr>
      <w:r>
        <w:rPr>
          <w:rFonts w:ascii="Arial" w:cs="Arial" w:eastAsia="Arial" w:hAnsi="Arial"/>
          <w:b w:val="false"/>
          <w:bCs w:val="false"/>
          <w:i w:val="false"/>
          <w:iCs w:val="false"/>
          <w:color w:val="111111"/>
          <w:sz w:val="28"/>
          <w:szCs w:val="28"/>
        </w:rPr>
        <w:t xml:space="preserve">  </w:t>
      </w:r>
      <w:r>
        <w:rPr>
          <w:rFonts w:ascii="Arial" w:cs="Arial" w:eastAsia="Arial" w:hAnsi="Arial"/>
          <w:b/>
          <w:bCs/>
          <w:i w:val="false"/>
          <w:iCs w:val="false"/>
          <w:color w:val="1B3A6B"/>
          <w:sz w:val="28"/>
          <w:szCs w:val="28"/>
        </w:rPr>
        <w:t xml:space="preserve">PHASE 4</w:t>
      </w:r>
      <w:r>
        <w:rPr>
          <w:rFonts w:ascii="Arial" w:cs="Arial" w:eastAsia="Arial" w:hAnsi="Arial"/>
          <w:b w:val="false"/>
          <w:bCs w:val="false"/>
          <w:i/>
          <w:iCs/>
          <w:color w:val="666666"/>
          <w:sz w:val="20"/>
          <w:szCs w:val="20"/>
        </w:rPr>
        <w:t xml:space="preserve">   Investment Policy Statement (IPS) — All Three Personas</w:t>
      </w:r>
    </w:p>
    <w:p>
      <w:pPr>
        <w:spacing w:after="0" w:before="100"/>
      </w:pPr>
      <w:r>
        <w:t xml:space="preserve"/>
      </w:r>
    </w:p>
    <w:p>
      <w:pPr>
        <w:spacing w:after="120" w:before="0"/>
        <w:jc w:val="left"/>
      </w:pPr>
      <w:r>
        <w:rPr>
          <w:rFonts w:ascii="Arial" w:cs="Arial" w:eastAsia="Arial" w:hAnsi="Arial"/>
          <w:b w:val="false"/>
          <w:bCs w:val="false"/>
          <w:i w:val="false"/>
          <w:iCs w:val="false"/>
          <w:color w:val="111111"/>
          <w:sz w:val="21"/>
          <w:szCs w:val="21"/>
        </w:rPr>
        <w:t xml:space="preserve">The Investment Policy Statement (IPS) is the governing document that formalises the agreed-upon investment strategy between the Relationship Manager and each client. It serves as the written contract defining objectives, constraints, asset allocation bands, rebalancing triggers, review frequency, and governance. In any dispute, the IPS is the reference document. In a live ICICI Wealth context, this document is signed by both the client and the RM before any portfolio deployment.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ARJUN MEHTA</w:t>
            </w:r>
          </w:p>
          <w:p>
            <w:pPr>
              <w:spacing w:after="60" w:before="0"/>
              <w:jc w:val="left"/>
            </w:pPr>
            <w:r>
              <w:rPr>
                <w:rFonts w:ascii="Arial" w:cs="Arial" w:eastAsia="Arial" w:hAnsi="Arial"/>
                <w:b w:val="false"/>
                <w:bCs w:val="false"/>
                <w:i/>
                <w:iCs/>
                <w:color w:val="FFF3DC"/>
                <w:sz w:val="20"/>
                <w:szCs w:val="20"/>
              </w:rPr>
              <w:t xml:space="preserve">Moderately Aggressive</w:t>
            </w:r>
          </w:p>
        </w:tc>
        <w:tc>
          <w:tcPr>
            <w:tcW w:type="dxa" w:w="23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68/100</w:t>
            </w:r>
          </w:p>
          <w:p>
            <w:pPr>
              <w:spacing w:after="40" w:before="0"/>
              <w:jc w:val="center"/>
            </w:pPr>
            <w:r>
              <w:rPr>
                <w:rFonts w:ascii="Arial" w:cs="Arial" w:eastAsia="Arial" w:hAnsi="Arial"/>
                <w:b w:val="false"/>
                <w:bCs w:val="false"/>
                <w:i/>
                <w:iCs/>
                <w:color w:val="FFF3DC"/>
                <w:sz w:val="16"/>
                <w:szCs w:val="16"/>
              </w:rPr>
              <w:t xml:space="preserve">Moderately Aggressive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IPS 4.1 — Arjun Mehta: Investment Policy Statement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Client Name</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Arjun Rajesh Mehta</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Date of Birth</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14 March 1986  (Age 38)</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PAN</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ABCPM1234R</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Risk Classification</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Moderately Aggressive  |  Score: 68/100</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AUM Under Advisory</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₹2,50,00,000  (₹2.5 Crore)</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RM / Adviser</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ICICI Wealth — Assigned Relationship Manager</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IPS Effective Date</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June 2025</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Next Mandatory Review</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June 2026  (Annual)  |  or upon any material life event</w:t>
            </w:r>
          </w:p>
        </w:tc>
      </w:tr>
    </w:tbl>
    <w:p>
      <w:pPr>
        <w:spacing w:after="0" w:before="12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Investment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1500"/>
        <w:gridCol w:w="3060"/>
      </w:tblGrid>
      <w:tr>
        <w:tc>
          <w:tcPr>
            <w:tcW w:type="dxa" w:w="8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Priority</w:t>
            </w:r>
          </w:p>
        </w:tc>
        <w:tc>
          <w:tcPr>
            <w:tcW w:type="dxa" w:w="25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Goal</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Target Corpus</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Time Horizon</w:t>
            </w:r>
          </w:p>
        </w:tc>
        <w:tc>
          <w:tcPr>
            <w:tcW w:type="dxa" w:w="30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Flexibility</w:t>
            </w:r>
          </w:p>
        </w:tc>
      </w:tr>
      <w:tr>
        <w:tc>
          <w:tcPr>
            <w:tcW w:type="dxa" w:w="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2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Children's higher education (elder child)</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₹60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years</w:t>
            </w:r>
          </w:p>
        </w:tc>
        <w:tc>
          <w:tcPr>
            <w:tcW w:type="dxa" w:w="30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Low — date-bound</w:t>
            </w:r>
          </w:p>
        </w:tc>
      </w:tr>
      <w:tr>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2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Children's higher education (younger)</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₹60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13 years</w:t>
            </w:r>
          </w:p>
        </w:tc>
        <w:tc>
          <w:tcPr>
            <w:tcW w:type="dxa" w:w="30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Low — date-bound</w:t>
            </w:r>
          </w:p>
        </w:tc>
      </w:tr>
      <w:tr>
        <w:tc>
          <w:tcPr>
            <w:tcW w:type="dxa" w:w="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2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Early retirement at age 50</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₹8–10 Cr</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years</w:t>
            </w:r>
          </w:p>
        </w:tc>
        <w:tc>
          <w:tcPr>
            <w:tcW w:type="dxa" w:w="30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Moderate (±2 years)</w:t>
            </w:r>
          </w:p>
        </w:tc>
      </w:tr>
      <w:tr>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2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Home upgrade — down payment</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₹40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 years</w:t>
            </w:r>
          </w:p>
        </w:tc>
        <w:tc>
          <w:tcPr>
            <w:tcW w:type="dxa" w:w="30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High</w:t>
            </w:r>
          </w:p>
        </w:tc>
      </w:tr>
      <w:tr>
        <w:tc>
          <w:tcPr>
            <w:tcW w:type="dxa" w:w="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2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International travel fund</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 L every 2 yrs</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Recurring</w:t>
            </w:r>
          </w:p>
        </w:tc>
        <w:tc>
          <w:tcPr>
            <w:tcW w:type="dxa" w:w="30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High</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Return &amp; Risk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Target Portfolio Return (p.a.)</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11.5 – 12.5% CAGR (overall blended portfolio)</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Target Equity Return</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13 – 15% CAGR (equity sleeve of portfolio)</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Maximum Acceptable Drawdown</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25% peak-to-trough over any 12-month period</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Benchmark</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Nifty 50 TRI for equity sleeve  |  CRISIL Short Duration Index for debt sleeve</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Minimum Acceptable Real Return</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6.5% p.a. (return net of CPI inflation of ~5.5%)</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Strategic Asset Allocation (SAA) — Target &amp; Permitted Bands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300"/>
        <w:gridCol w:w="1300"/>
        <w:gridCol w:w="2960"/>
      </w:tblGrid>
      <w:tr>
        <w:tc>
          <w:tcPr>
            <w:tcW w:type="dxa" w:w="2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Asset Class</w:t>
            </w:r>
          </w:p>
        </w:tc>
        <w:tc>
          <w:tcPr>
            <w:tcW w:type="dxa" w:w="16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Target Allocation</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Minimum Band</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Maximum Band</w:t>
            </w:r>
          </w:p>
        </w:tc>
        <w:tc>
          <w:tcPr>
            <w:tcW w:type="dxa" w:w="29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Benchmark / Product</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Large Cap Equity MF</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28%</w:t>
            </w:r>
          </w:p>
        </w:tc>
        <w:tc>
          <w:tcPr>
            <w:tcW w:type="dxa" w:w="2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Bluechip Fund</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Flexi Cap Equity MF</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w:t>
            </w:r>
          </w:p>
        </w:tc>
        <w:tc>
          <w:tcPr>
            <w:tcW w:type="dxa" w:w="2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Flexicap Fund</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Mid Cap Equity MF</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2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Midcap Fund</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Portfolio Management Services</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2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PMS — Multicap Strategy</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AIF Category II</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2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 Kotak AIF Cat II</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Debt MF — Corporate Bond</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2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Corporate Bond Fund</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REIT</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2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Embassy + Mindspace REIT</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Sovereign Gold Bond (SGB)</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w:t>
            </w:r>
          </w:p>
        </w:tc>
        <w:tc>
          <w:tcPr>
            <w:tcW w:type="dxa" w:w="2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RBI Sovereign Gold Bond</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International Fund (FoF)</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2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US Bluechip FoF</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TOTAL</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2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Investment Constraints &amp; Restrictions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Liquidity Requirement</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Minimum ₹8 L to remain in liquid/FD at all times (6-month emergency buffer — separately maintained)</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Single Stock/Fund Limit</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No single equity MF or direct stock to exceed 10% of total portfolio</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Single Sector Limit</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No sector to exceed 20% of equity sleeve (prevents technology overconcentration)</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Prohibited Instruments</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Penny stocks, unrated/sub-investment grade bonds, F&amp;O on individual stocks</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AIF Lock-in Acknowledgement</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Client acknowledges AIF Cat II has 3–5 year lock-in. This tranche is classified as illiquid.</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Currency Exposure</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International fund limited to 3–5% — not a primary currency hedge strategy</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Tax Consideration</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All equity MF redemptions to be reviewed for LTCG exemption limit (₹1.25 L/year) before executing</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Rebalancing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c>
          <w:tcPr>
            <w:tcW w:type="dxa" w:w="20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Trigger Type</w:t>
            </w:r>
          </w:p>
        </w:tc>
        <w:tc>
          <w:tcPr>
            <w:tcW w:type="dxa" w:w="25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Condition</w:t>
            </w:r>
          </w:p>
        </w:tc>
        <w:tc>
          <w:tcPr>
            <w:tcW w:type="dxa" w:w="28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Action Required</w:t>
            </w:r>
          </w:p>
        </w:tc>
        <w:tc>
          <w:tcPr>
            <w:tcW w:type="dxa" w:w="20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Timeframe</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Calendar Rebalancing</w:t>
            </w:r>
          </w:p>
        </w:tc>
        <w:tc>
          <w:tcPr>
            <w:tcW w:type="dxa" w:w="2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Annual — every June</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Review all allocations vs SAA; restore to target bands</w:t>
            </w:r>
          </w:p>
        </w:tc>
        <w:tc>
          <w:tcPr>
            <w:tcW w:type="dxa" w:w="20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Within 30 days of annual review</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Threshold Rebalancing</w:t>
            </w:r>
          </w:p>
        </w:tc>
        <w:tc>
          <w:tcPr>
            <w:tcW w:type="dxa" w:w="2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Any asset class drifts ±5% from target</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Rebalance that sleeve back to target</w:t>
            </w:r>
          </w:p>
        </w:tc>
        <w:tc>
          <w:tcPr>
            <w:tcW w:type="dxa" w:w="20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Within 15 days of breach detection</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Life Event Trigger</w:t>
            </w:r>
          </w:p>
        </w:tc>
        <w:tc>
          <w:tcPr>
            <w:tcW w:type="dxa" w:w="2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Job change / bonus &gt; ₹5 L / birth of child / property purchase</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Full IPS review</w:t>
            </w:r>
          </w:p>
        </w:tc>
        <w:tc>
          <w:tcPr>
            <w:tcW w:type="dxa" w:w="20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Within 30 days of event</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Market Trigger</w:t>
            </w:r>
          </w:p>
        </w:tc>
        <w:tc>
          <w:tcPr>
            <w:tcW w:type="dxa" w:w="2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Nifty 50 drawdown &gt; 20% from peak</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Review tactical allocation; consider adding equity</w:t>
            </w:r>
          </w:p>
        </w:tc>
        <w:tc>
          <w:tcPr>
            <w:tcW w:type="dxa" w:w="20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Within 7 days of event</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Goal Proximity Trigger</w:t>
            </w:r>
          </w:p>
        </w:tc>
        <w:tc>
          <w:tcPr>
            <w:tcW w:type="dxa" w:w="2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Within 2 years of a major goal date</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De-risk relevant goal bucket to debt/liquid</w:t>
            </w:r>
          </w:p>
        </w:tc>
        <w:tc>
          <w:tcPr>
            <w:tcW w:type="dxa" w:w="20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Automatically at 24-month mark</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Governance &amp; Review 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Review Frequency</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Annual mandatory review  |  Quarterly performance check (informal)</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Review Agenda</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Portfolio performance vs benchmark  |  Goal progress  |  Tax optimisation  |  Rebalancing needs  |  Life event changes</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Behavioural Flag</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Client shows Overconfidence Bias and Recency Bias. RM must not execute additional equity allocation requests without written approval during bull market phases.</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IPS Amendment Process</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Any change to target allocation exceeding ±5% requires written consent from client and RM counter-signature</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Client Signature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Arjun Rajesh Mehta  |  Date: ___________</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RM Signature</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Relationship Manager, ICICI Wealth  |  Date: ___________</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Compliance Sign-off</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ICICI Wealth Compliance Officer  |  Date: ___________</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SURESH RAJAN</w:t>
            </w:r>
          </w:p>
          <w:p>
            <w:pPr>
              <w:spacing w:after="60" w:before="0"/>
              <w:jc w:val="left"/>
            </w:pPr>
            <w:r>
              <w:rPr>
                <w:rFonts w:ascii="Arial" w:cs="Arial" w:eastAsia="Arial" w:hAnsi="Arial"/>
                <w:b w:val="false"/>
                <w:bCs w:val="false"/>
                <w:i/>
                <w:iCs/>
                <w:color w:val="FFF3DC"/>
                <w:sz w:val="20"/>
                <w:szCs w:val="20"/>
              </w:rPr>
              <w:t xml:space="preserve">Conservative</w:t>
            </w:r>
          </w:p>
        </w:tc>
        <w:tc>
          <w:tcPr>
            <w:tcW w:type="dxa" w:w="236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28/100</w:t>
            </w:r>
          </w:p>
          <w:p>
            <w:pPr>
              <w:spacing w:after="40" w:before="0"/>
              <w:jc w:val="center"/>
            </w:pPr>
            <w:r>
              <w:rPr>
                <w:rFonts w:ascii="Arial" w:cs="Arial" w:eastAsia="Arial" w:hAnsi="Arial"/>
                <w:b w:val="false"/>
                <w:bCs w:val="false"/>
                <w:i/>
                <w:iCs/>
                <w:color w:val="FFF3DC"/>
                <w:sz w:val="16"/>
                <w:szCs w:val="16"/>
              </w:rPr>
              <w:t xml:space="preserve">Conservative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IPS 4.2 — Suresh Rajan: Investment Policy Statement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Client Name</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Suresh Krishnamurthy Rajan</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Date of Birth</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7 September 1972  (Age 52)</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PAN</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DFGRS4567P</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Risk Classification</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Conservative  |  Score: 28/100</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AUM Under Advisory</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₹6,00,00,000  (₹6 Crore)</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Post-Retirement Income</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BHEL Pension: ~₹65,000/month  |  Rental Income: ₹18,000/month</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IPS Effective Date</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June 2025</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Next Mandatory Review</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June 2026  (Annual)  |  Mandatory full review upon retirement (2033)</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Investment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1800"/>
        <w:gridCol w:w="2160"/>
      </w:tblGrid>
      <w:tr>
        <w:tc>
          <w:tcPr>
            <w:tcW w:type="dxa" w:w="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Priority</w:t>
            </w:r>
          </w:p>
        </w:tc>
        <w:tc>
          <w:tcPr>
            <w:tcW w:type="dxa" w:w="2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Goal</w:t>
            </w:r>
          </w:p>
        </w:tc>
        <w:tc>
          <w:tcPr>
            <w:tcW w:type="dxa" w:w="1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Target Corpus</w:t>
            </w:r>
          </w:p>
        </w:tc>
        <w:tc>
          <w:tcPr>
            <w:tcW w:type="dxa" w:w="1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Time Horizon</w:t>
            </w:r>
          </w:p>
        </w:tc>
        <w:tc>
          <w:tcPr>
            <w:tcW w:type="dxa" w:w="216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Priority Level</w:t>
            </w:r>
          </w:p>
        </w:tc>
      </w:tr>
      <w:tr>
        <w:tc>
          <w:tcPr>
            <w:tcW w:type="dxa" w:w="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Capital preservation — real return above inflation</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Protect ₹6 Cr corpus</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Perpetual</w:t>
            </w:r>
          </w:p>
        </w:tc>
        <w:tc>
          <w:tcPr>
            <w:tcW w:type="dxa" w:w="2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Highest</w:t>
            </w:r>
          </w:p>
        </w:tc>
      </w:tr>
      <w:tr>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Retirement income — ₹1.5–2 L/month from portfolio</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SWP from corpus</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 yrs + 20 yr drawdown</w:t>
            </w:r>
          </w:p>
        </w:tc>
        <w:tc>
          <w:tcPr>
            <w:tcW w:type="dxa" w:w="2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High</w:t>
            </w:r>
          </w:p>
        </w:tc>
      </w:tr>
      <w:tr>
        <w:tc>
          <w:tcPr>
            <w:tcW w:type="dxa" w:w="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Son's wedding expenses</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 L</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3–4 years</w:t>
            </w:r>
          </w:p>
        </w:tc>
        <w:tc>
          <w:tcPr>
            <w:tcW w:type="dxa" w:w="2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High — date-bound</w:t>
            </w:r>
          </w:p>
        </w:tc>
      </w:tr>
      <w:tr>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Medical contingency reserve</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 L ring-fenced</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Immediate</w:t>
            </w:r>
          </w:p>
        </w:tc>
        <w:tc>
          <w:tcPr>
            <w:tcW w:type="dxa" w:w="2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High</w:t>
            </w:r>
          </w:p>
        </w:tc>
      </w:tr>
      <w:tr>
        <w:tc>
          <w:tcPr>
            <w:tcW w:type="dxa" w:w="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Estate transfer — structured inheritance</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Full net worth planning</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10–15 years</w:t>
            </w:r>
          </w:p>
        </w:tc>
        <w:tc>
          <w:tcPr>
            <w:tcW w:type="dxa" w:w="2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Moderate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Return &amp; Risk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Target Portfolio Return (p.a.)</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7.5 – 8.5% CAGR (above inflation of 5.5%)</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Target Real Return</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Minimum 2.0% real return (nominal return minus CPI)</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Maximum Acceptable Drawdown</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10% peak-to-trough — any drawdown beyond 15% requires immediate client consultation</w:t>
            </w:r>
          </w:p>
        </w:tc>
      </w:tr>
      <w:tr>
        <w:tc>
          <w:tcPr>
            <w:tcW w:type="dxa" w:w="3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Benchmark</w:t>
            </w:r>
          </w:p>
        </w:tc>
        <w:tc>
          <w:tcPr>
            <w:tcW w:type="dxa" w:w="5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CRISIL Composite Bond Index for debt  |  Nifty 50 TRI for equity sleeve only</w:t>
            </w:r>
          </w:p>
        </w:tc>
      </w:tr>
      <w:tr>
        <w:tc>
          <w:tcPr>
            <w:tcW w:type="dxa" w:w="3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Income Mandate</w:t>
            </w:r>
          </w:p>
        </w:tc>
        <w:tc>
          <w:tcPr>
            <w:tcW w:type="dxa" w:w="5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Portfolio must be capable of generating ₹1.5 L/month via SWP from year 8 (2033) onward</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Strategic Asset Allocation (SAA) — Target &amp; Permitted Bands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00"/>
        <w:gridCol w:w="1300"/>
        <w:gridCol w:w="2760"/>
      </w:tblGrid>
      <w:tr>
        <w:tc>
          <w:tcPr>
            <w:tcW w:type="dxa" w:w="24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Asset Class</w:t>
            </w:r>
          </w:p>
        </w:tc>
        <w:tc>
          <w:tcPr>
            <w:tcW w:type="dxa" w:w="16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Target Allocation</w:t>
            </w:r>
          </w:p>
        </w:tc>
        <w:tc>
          <w:tcPr>
            <w:tcW w:type="dxa" w:w="13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Minimum Band</w:t>
            </w:r>
          </w:p>
        </w:tc>
        <w:tc>
          <w:tcPr>
            <w:tcW w:type="dxa" w:w="13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Maximum Band</w:t>
            </w:r>
          </w:p>
        </w:tc>
        <w:tc>
          <w:tcPr>
            <w:tcW w:type="dxa" w:w="276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Instrument / Product</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Debt MF — Short Duration</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35%</w:t>
            </w:r>
          </w:p>
        </w:tc>
        <w:tc>
          <w:tcPr>
            <w:tcW w:type="dxa" w:w="2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Short Duration Fund</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G-Sec / Government Bond</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w:t>
            </w:r>
          </w:p>
        </w:tc>
        <w:tc>
          <w:tcPr>
            <w:tcW w:type="dxa" w:w="2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10-year G-Sec via ICICI Direct</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Corporate Bond Fund (AAA)</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2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Corporate Bond Fund</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Large Cap Equity MF</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2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Bluechip Fund</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Sovereign Gold Bond (SGB)</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w:t>
            </w:r>
          </w:p>
        </w:tc>
        <w:tc>
          <w:tcPr>
            <w:tcW w:type="dxa" w:w="2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RBI Sovereign Gold Bond (8-yr)</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REIT</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2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Embassy Office Parks REIT</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Liquid MF (Emergency Pool)</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w:t>
            </w:r>
          </w:p>
        </w:tc>
        <w:tc>
          <w:tcPr>
            <w:tcW w:type="dxa" w:w="2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Liquid Fund — ₹30L pool</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Flexi Cap MF</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2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Flexicap Fund</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TOTAL</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2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Investment Constraints &amp; Restrictions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Capital Protection Mandate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At no point should equity + REIT allocation exceed 25% of total portfolio. This is a hard ceiling.</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Liquidity Reserve</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₹30 L (5% of corpus) must remain in Liquid MF at all times — accessible within 24 hours</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Medical Reserve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₹20 L to be separately parked in ICICI FD — not part of investment portfolio. Do not invest or redeem without client instruction.</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Prohibited Instruments</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Mid cap funds, small cap funds, AIF (all categories), PMS, derivatives, direct equity trading</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FD Restructuring Mandate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Existing ₹1.1 Cr FDs to be systematically transferred to Debt MF + G-Sec over 12 months to improve post-tax yield</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LIC Policy Review</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3 LIC endowment policies (surrender value ₹18 L, ~4–5% return) to be evaluated by Dec 2025. RM to present paid-up vs surrender analysis.</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Drawdown Response Protocol</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If equity sleeve falls more than 15%, RM must call client within 48 hours BEFORE any action — prevents panic selling</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SWP (Systematic Withdrawal Plan) — Retirement Income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60"/>
      </w:tblGrid>
      <w:tr>
        <w:tc>
          <w:tcPr>
            <w:tcW w:type="dxa" w:w="20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Phase</w:t>
            </w:r>
          </w:p>
        </w:tc>
        <w:tc>
          <w:tcPr>
            <w:tcW w:type="dxa" w:w="1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Period</w:t>
            </w:r>
          </w:p>
        </w:tc>
        <w:tc>
          <w:tcPr>
            <w:tcW w:type="dxa" w:w="1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Monthly Income Need</w:t>
            </w:r>
          </w:p>
        </w:tc>
        <w:tc>
          <w:tcPr>
            <w:tcW w:type="dxa" w:w="20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Source</w:t>
            </w:r>
          </w:p>
        </w:tc>
        <w:tc>
          <w:tcPr>
            <w:tcW w:type="dxa" w:w="176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Notes</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Pre-Retirement (Accumulation)</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2025 – 2032 (8 years)</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 — portfolio grows</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No withdrawal</w:t>
            </w:r>
          </w:p>
        </w:tc>
        <w:tc>
          <w:tcPr>
            <w:tcW w:type="dxa" w:w="1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SIPs continue; annual reviews</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Early Retirement</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2033 – 2038 (5 years)</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₹1,50,000/month</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SWP from Debt MF + G-Sec interest</w:t>
            </w:r>
          </w:p>
        </w:tc>
        <w:tc>
          <w:tcPr>
            <w:tcW w:type="dxa" w:w="1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Supplement pension of ₹65K + rental ₹18K</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Mid Retirement</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2038 – 2048</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₹1,80,000/month</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SWP + REIT distribution</w:t>
            </w:r>
          </w:p>
        </w:tc>
        <w:tc>
          <w:tcPr>
            <w:tcW w:type="dxa" w:w="1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Inflation-adjusted withdrawal step-up</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Late Retirement</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2048 onward</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Review annually</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Estate plan review</w:t>
            </w:r>
          </w:p>
        </w:tc>
        <w:tc>
          <w:tcPr>
            <w:tcW w:type="dxa" w:w="1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Will + trust structure to activate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Behavioural Advisory Protocols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100" w:before="100"/>
              <w:jc w:val="center"/>
            </w:pPr>
            <w:r>
              <w:rPr>
                <w:rFonts w:ascii="Arial" w:cs="Arial" w:eastAsia="Arial" w:hAnsi="Arial"/>
                <w:b/>
                <w:bCs/>
                <w:i w:val="false"/>
                <w:iCs w:val="false"/>
                <w:color w:val="FFFFFF"/>
                <w:sz w:val="28"/>
                <w:szCs w:val="28"/>
              </w:rPr>
              <w:t xml:space="preserve">!</w:t>
            </w:r>
          </w:p>
        </w:tc>
        <w:tc>
          <w:tcPr>
            <w:tcW w:type="dxa" w:w="8960"/>
            <w:tcBorders>
              <w:top w:val="single" w:color="1A6B5A" w:sz="6"/>
              <w:left w:val="single" w:color="1A6B5A" w:sz="6"/>
              <w:bottom w:val="single" w:color="1A6B5A" w:sz="6"/>
              <w:right w:val="single" w:color="1A6B5A" w:sz="6"/>
            </w:tcBorders>
            <w:shd w:fill="D4EDE8" w:val="clear"/>
            <w:tcMar>
              <w:top w:type="dxa" w:w="100"/>
              <w:left w:type="dxa" w:w="160"/>
              <w:bottom w:type="dxa" w:w="100"/>
              <w:right w:type="dxa" w:w="160"/>
            </w:tcMar>
            <w:vAlign w:val="top"/>
          </w:tcPr>
          <w:p>
            <w:pPr>
              <w:spacing w:after="100" w:before="100"/>
              <w:jc w:val="left"/>
            </w:pPr>
            <w:r>
              <w:rPr>
                <w:rFonts w:ascii="Arial" w:cs="Arial" w:eastAsia="Arial" w:hAnsi="Arial"/>
                <w:b w:val="false"/>
                <w:bCs w:val="false"/>
                <w:i/>
                <w:iCs/>
                <w:color w:val="111111"/>
                <w:sz w:val="21"/>
                <w:szCs w:val="21"/>
              </w:rPr>
              <w:t xml:space="preserve">Suresh Rajan exhibits strong Loss Aversion and Status Quo Bias. The RM must never present investment decisions as 'changing what works' — instead frame all restructuring as 'protecting wealth against the silent erosion of inflation.' The FD anchoring bias must be countered by presenting post-tax, post-inflation FD returns (actual real return: ~1%) against debt MF alternatives in every review meeting.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PRIYA KAPOOR</w:t>
            </w:r>
          </w:p>
          <w:p>
            <w:pPr>
              <w:spacing w:after="60" w:before="0"/>
              <w:jc w:val="left"/>
            </w:pPr>
            <w:r>
              <w:rPr>
                <w:rFonts w:ascii="Arial" w:cs="Arial" w:eastAsia="Arial" w:hAnsi="Arial"/>
                <w:b w:val="false"/>
                <w:bCs w:val="false"/>
                <w:i/>
                <w:iCs/>
                <w:color w:val="FFF3DC"/>
                <w:sz w:val="20"/>
                <w:szCs w:val="20"/>
              </w:rPr>
              <w:t xml:space="preserve">Moderate (Multi-Bucket)</w:t>
            </w:r>
          </w:p>
        </w:tc>
        <w:tc>
          <w:tcPr>
            <w:tcW w:type="dxa" w:w="236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54/100</w:t>
            </w:r>
          </w:p>
          <w:p>
            <w:pPr>
              <w:spacing w:after="40" w:before="0"/>
              <w:jc w:val="center"/>
            </w:pPr>
            <w:r>
              <w:rPr>
                <w:rFonts w:ascii="Arial" w:cs="Arial" w:eastAsia="Arial" w:hAnsi="Arial"/>
                <w:b w:val="false"/>
                <w:bCs w:val="false"/>
                <w:i/>
                <w:iCs/>
                <w:color w:val="FFF3DC"/>
                <w:sz w:val="16"/>
                <w:szCs w:val="16"/>
              </w:rPr>
              <w:t xml:space="preserve">Moderate (Multi-Bucket)</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IPS 4.3 — Priya Kapoor: Investment Policy Statement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Client Name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Priya Anand Kapoor</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Date of Birth</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22 June 1980  (Age 44)</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PAN</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HJKPK8901W</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Residential Status</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Resident Indian (transitioning from RNOR — FY2024-25 is final RNOR year)</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Risk Classification</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Moderate  |  Score: 54/100</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AUM Under Advisory</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₹4,00,00,000 deployable (₹4 Crore — India + Singapore combined)</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Offshore Assets</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SGD/USD equivalent ~₹1.8 Cr (Singapore DBS) — repatriation via LRS at $250K/year</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IPS Effective Date</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June 2025</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Next Mandatory Review</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December 2025 (6-month interim — due to RNOR transition + education goal urgency)</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Multi-Bucket Investment Framework</w:t>
      </w:r>
    </w:p>
    <w:p>
      <w:pPr>
        <w:spacing w:after="0" w:before="80"/>
      </w:pPr>
      <w:r>
        <w:t xml:space="preserve"/>
      </w:r>
    </w:p>
    <w:p>
      <w:pPr>
        <w:spacing w:after="100" w:before="0"/>
        <w:jc w:val="left"/>
      </w:pPr>
      <w:r>
        <w:rPr>
          <w:rFonts w:ascii="Arial" w:cs="Arial" w:eastAsia="Arial" w:hAnsi="Arial"/>
          <w:b w:val="false"/>
          <w:bCs w:val="false"/>
          <w:i/>
          <w:iCs/>
          <w:color w:val="111111"/>
          <w:sz w:val="20"/>
          <w:szCs w:val="20"/>
        </w:rPr>
        <w:t xml:space="preserve">Given the complexity of Priya Kapoor's financial situation — two hard near-term goals (education in 2 years, home in 3 years), a long-term wealth target, and an NRI tax transition — the portfolio is structured into three explicit buckets. Each bucket has a separate asset allocation, return objective, and risk tolerance. Buckets do not cross-fund each other without explicit RM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200"/>
        <w:gridCol w:w="1200"/>
        <w:gridCol w:w="2360"/>
      </w:tblGrid>
      <w:tr>
        <w:tc>
          <w:tcPr>
            <w:tcW w:type="dxa" w:w="12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Bucket</w:t>
            </w:r>
          </w:p>
        </w:tc>
        <w:tc>
          <w:tcPr>
            <w:tcW w:type="dxa" w:w="20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Purpose</w:t>
            </w:r>
          </w:p>
        </w:tc>
        <w:tc>
          <w:tcPr>
            <w:tcW w:type="dxa" w:w="14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Target Corpus</w:t>
            </w:r>
          </w:p>
        </w:tc>
        <w:tc>
          <w:tcPr>
            <w:tcW w:type="dxa" w:w="12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Horizon</w:t>
            </w:r>
          </w:p>
        </w:tc>
        <w:tc>
          <w:tcPr>
            <w:tcW w:type="dxa" w:w="12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Risk Level</w:t>
            </w:r>
          </w:p>
        </w:tc>
        <w:tc>
          <w:tcPr>
            <w:tcW w:type="dxa" w:w="236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Instruments</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Bucket 1 — Safety</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Daughter's education (non-negotiable)</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Cr</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24 months</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Very Low</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Liquid MF + Short Duration MF only</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Bucket 2 — Stability</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Home down payment</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₹1.0–1.2 Cr</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36 months</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Low–Moderate</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Corporate Bond MF + REIT</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Bucket 3 — Growth</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Long-term wealth (₹10 Cr target at 55)</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₹1.6 Cr (grow to ₹5+ Cr)</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years</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Moderate</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Equity MF + AIF + Intl Fund</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Strategic Asset Allocation (SAA)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900"/>
        <w:gridCol w:w="900"/>
        <w:gridCol w:w="3160"/>
      </w:tblGrid>
      <w:tr>
        <w:tc>
          <w:tcPr>
            <w:tcW w:type="dxa" w:w="24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Asset Class</w:t>
            </w:r>
          </w:p>
        </w:tc>
        <w:tc>
          <w:tcPr>
            <w:tcW w:type="dxa" w:w="8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Target %</w:t>
            </w:r>
          </w:p>
        </w:tc>
        <w:tc>
          <w:tcPr>
            <w:tcW w:type="dxa" w:w="12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Bucket</w:t>
            </w:r>
          </w:p>
        </w:tc>
        <w:tc>
          <w:tcPr>
            <w:tcW w:type="dxa" w:w="9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Min Band</w:t>
            </w:r>
          </w:p>
        </w:tc>
        <w:tc>
          <w:tcPr>
            <w:tcW w:type="dxa" w:w="9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Max Band</w:t>
            </w:r>
          </w:p>
        </w:tc>
        <w:tc>
          <w:tcPr>
            <w:tcW w:type="dxa" w:w="316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Product</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Liquid MF / Short Duration (Education)</w:t>
            </w:r>
          </w:p>
        </w:tc>
        <w:tc>
          <w:tcPr>
            <w:tcW w:type="dxa" w:w="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30%</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1</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28%</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32%</w:t>
            </w:r>
          </w:p>
        </w:tc>
        <w:tc>
          <w:tcPr>
            <w:tcW w:type="dxa" w:w="3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Liquid Fund</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Flexi Cap Equity MF</w:t>
            </w:r>
          </w:p>
        </w:tc>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3</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w:t>
            </w:r>
          </w:p>
        </w:tc>
        <w:tc>
          <w:tcPr>
            <w:tcW w:type="dxa" w:w="3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Flexicap</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Corporate Bond MF (Home)</w:t>
            </w:r>
          </w:p>
        </w:tc>
        <w:tc>
          <w:tcPr>
            <w:tcW w:type="dxa" w:w="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2</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18%</w:t>
            </w:r>
          </w:p>
        </w:tc>
        <w:tc>
          <w:tcPr>
            <w:tcW w:type="dxa" w:w="3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Corp Bond</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REIT</w:t>
            </w:r>
          </w:p>
        </w:tc>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2+3</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3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Embassy + Mindspace + Brookfield</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Large Cap Equity MF</w:t>
            </w:r>
          </w:p>
        </w:tc>
        <w:tc>
          <w:tcPr>
            <w:tcW w:type="dxa" w:w="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3</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w:t>
            </w:r>
          </w:p>
        </w:tc>
        <w:tc>
          <w:tcPr>
            <w:tcW w:type="dxa" w:w="3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Bluechip</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AIF Category II</w:t>
            </w:r>
          </w:p>
        </w:tc>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3</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3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Cat II — 3-yr tranche</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International Fund (FoF)</w:t>
            </w:r>
          </w:p>
        </w:tc>
        <w:tc>
          <w:tcPr>
            <w:tcW w:type="dxa" w:w="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3</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w:t>
            </w:r>
          </w:p>
        </w:tc>
        <w:tc>
          <w:tcPr>
            <w:tcW w:type="dxa" w:w="3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US Bluechip FoF</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Sovereign Gold Bond</w:t>
            </w:r>
          </w:p>
        </w:tc>
        <w:tc>
          <w:tcPr>
            <w:tcW w:type="dxa" w:w="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3</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w:t>
            </w:r>
          </w:p>
        </w:tc>
        <w:tc>
          <w:tcPr>
            <w:tcW w:type="dxa" w:w="9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w:t>
            </w:r>
          </w:p>
        </w:tc>
        <w:tc>
          <w:tcPr>
            <w:tcW w:type="dxa" w:w="3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RBI SGB</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TOTAL</w:t>
            </w:r>
          </w:p>
        </w:tc>
        <w:tc>
          <w:tcPr>
            <w:tcW w:type="dxa" w:w="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100%</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9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3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NRI / Tax Transition Constraints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RNOR to Resident Transition</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FY2025-26 onward, all global income (Singapore consulting fees in USD) will be taxable in India. Immediate engagement with CA for advance tax planning is mandatory.</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LRS Repatriation Plan</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₹1.8 Cr Singapore savings to be repatriated over 2 tranches: Year 1 (FY2026) — $250K (~₹2.1 Cr at ₹84.5 rate) into Bucket 1 + Bucket 3. Declare all remittances under LRS Form A2.</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FEMA Compliance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All forex transactions to be routed through ICICI NRE/NRO account. FEMA reporting mandatory. RM to co-ordinate with ICICI forex desk.</w:t>
            </w:r>
          </w:p>
        </w:tc>
      </w:tr>
      <w:tr>
        <w:tc>
          <w:tcPr>
            <w:tcW w:type="dxa" w:w="3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Double Taxation (DTAA)</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India-Singapore DTAA — consulting income partly sheltered. Review with CA before FY2026 ITR filing.</w:t>
            </w:r>
          </w:p>
        </w:tc>
      </w:tr>
      <w:tr>
        <w:tc>
          <w:tcPr>
            <w:tcW w:type="dxa" w:w="3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NRE FD Conversion</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₹44 L NRE FD to be converted to Resident FD upon RNOR expiry. Interest becomes taxable. Transfer to Debt MF post-maturity.</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Critical Action Items — 90-Day Deployment Calendar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800"/>
        <w:gridCol w:w="2560"/>
      </w:tblGrid>
      <w:tr>
        <w:tc>
          <w:tcPr>
            <w:tcW w:type="dxa" w:w="16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Timeline</w:t>
            </w:r>
          </w:p>
        </w:tc>
        <w:tc>
          <w:tcPr>
            <w:tcW w:type="dxa" w:w="34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Action</w:t>
            </w:r>
          </w:p>
        </w:tc>
        <w:tc>
          <w:tcPr>
            <w:tcW w:type="dxa" w:w="18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Amount</w:t>
            </w:r>
          </w:p>
        </w:tc>
        <w:tc>
          <w:tcPr>
            <w:tcW w:type="dxa" w:w="256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Responsible</w:t>
            </w:r>
          </w:p>
        </w:tc>
      </w:tr>
      <w:tr>
        <w:tc>
          <w:tcPr>
            <w:tcW w:type="dxa" w:w="1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Immediate (0–30 days)</w:t>
            </w:r>
          </w:p>
        </w:tc>
        <w:tc>
          <w:tcPr>
            <w:tcW w:type="dxa" w:w="3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Ring-fence ₹1.2 Cr into Liquid MF for education bucket</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Cr</w:t>
            </w:r>
          </w:p>
        </w:tc>
        <w:tc>
          <w:tcPr>
            <w:tcW w:type="dxa" w:w="2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RM + Client</w:t>
            </w:r>
          </w:p>
        </w:tc>
      </w:tr>
      <w:tr>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0–30 days</w:t>
            </w:r>
          </w:p>
        </w:tc>
        <w:tc>
          <w:tcPr>
            <w:tcW w:type="dxa" w:w="3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Purchase ₹2 Cr term insurance policy — single parent protection</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Premium ~₹18K p.a.</w:t>
            </w:r>
          </w:p>
        </w:tc>
        <w:tc>
          <w:tcPr>
            <w:tcW w:type="dxa" w:w="2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RM to facilitate</w:t>
            </w:r>
          </w:p>
        </w:tc>
      </w:tr>
      <w:tr>
        <w:tc>
          <w:tcPr>
            <w:tcW w:type="dxa" w:w="1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30–60 days</w:t>
            </w:r>
          </w:p>
        </w:tc>
        <w:tc>
          <w:tcPr>
            <w:tcW w:type="dxa" w:w="3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Begin LRS repatriation — initiate first $250K transfer from DBS Singapore</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~₹2.1 Cr</w:t>
            </w:r>
          </w:p>
        </w:tc>
        <w:tc>
          <w:tcPr>
            <w:tcW w:type="dxa" w:w="2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Forex Desk</w:t>
            </w:r>
          </w:p>
        </w:tc>
      </w:tr>
      <w:tr>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30–60 days</w:t>
            </w:r>
          </w:p>
        </w:tc>
        <w:tc>
          <w:tcPr>
            <w:tcW w:type="dxa" w:w="3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Engage CA for NRI tax transition planning — FY2026 advance tax estimate</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Advisory fee</w:t>
            </w:r>
          </w:p>
        </w:tc>
        <w:tc>
          <w:tcPr>
            <w:tcW w:type="dxa" w:w="2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CA referral by RM</w:t>
            </w:r>
          </w:p>
        </w:tc>
      </w:tr>
      <w:tr>
        <w:tc>
          <w:tcPr>
            <w:tcW w:type="dxa" w:w="1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60–90 days</w:t>
            </w:r>
          </w:p>
        </w:tc>
        <w:tc>
          <w:tcPr>
            <w:tcW w:type="dxa" w:w="3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Deploy Bucket 3 growth corpus into Flexi Cap + Large Cap equity MF via STP</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₹1.6 Cr via STP</w:t>
            </w:r>
          </w:p>
        </w:tc>
        <w:tc>
          <w:tcPr>
            <w:tcW w:type="dxa" w:w="2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RM execution</w:t>
            </w:r>
          </w:p>
        </w:tc>
      </w:tr>
      <w:tr>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90 days</w:t>
            </w:r>
          </w:p>
        </w:tc>
        <w:tc>
          <w:tcPr>
            <w:tcW w:type="dxa" w:w="3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IPS first checkpoint — all buckets funded, rebalancing bands confirmed</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Full review</w:t>
            </w:r>
          </w:p>
        </w:tc>
        <w:tc>
          <w:tcPr>
            <w:tcW w:type="dxa" w:w="2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RM + Client meeting</w:t>
            </w:r>
          </w:p>
        </w:tc>
      </w:tr>
    </w:tbl>
    <w:p>
      <w:pPr>
        <w:spacing w:after="80" w:before="80"/>
        <w:jc w:val="left"/>
      </w:pPr>
      <w:r>
        <w:br w:type="page"/>
      </w:r>
    </w:p>
    <w:p>
      <w:pPr>
        <w:spacing w:after="0" w:before="200"/>
      </w:pPr>
      <w:r>
        <w:t xml:space="preserve"/>
      </w:r>
    </w:p>
    <w:p>
      <w:pPr>
        <w:pBdr>
          <w:bottom w:val="single" w:color="C8962E" w:sz="8" w:space="3"/>
        </w:pBdr>
        <w:spacing w:after="0" w:before="0"/>
      </w:pPr>
      <w:r>
        <w:rPr>
          <w:rFonts w:ascii="Arial" w:cs="Arial" w:eastAsia="Arial" w:hAnsi="Arial"/>
          <w:b w:val="false"/>
          <w:bCs w:val="false"/>
          <w:i w:val="false"/>
          <w:iCs w:val="false"/>
          <w:color w:val="111111"/>
          <w:sz w:val="28"/>
          <w:szCs w:val="28"/>
        </w:rPr>
        <w:t xml:space="preserve">  </w:t>
      </w:r>
      <w:r>
        <w:rPr>
          <w:rFonts w:ascii="Arial" w:cs="Arial" w:eastAsia="Arial" w:hAnsi="Arial"/>
          <w:b/>
          <w:bCs/>
          <w:i w:val="false"/>
          <w:iCs w:val="false"/>
          <w:color w:val="1A6B5A"/>
          <w:sz w:val="28"/>
          <w:szCs w:val="28"/>
        </w:rPr>
        <w:t xml:space="preserve">PHASE 5</w:t>
      </w:r>
      <w:r>
        <w:rPr>
          <w:rFonts w:ascii="Arial" w:cs="Arial" w:eastAsia="Arial" w:hAnsi="Arial"/>
          <w:b w:val="false"/>
          <w:bCs w:val="false"/>
          <w:i/>
          <w:iCs/>
          <w:color w:val="666666"/>
          <w:sz w:val="20"/>
          <w:szCs w:val="20"/>
        </w:rPr>
        <w:t xml:space="preserve">   10-Year Wealth Projection &amp; CAGR Analysis</w:t>
      </w:r>
    </w:p>
    <w:p>
      <w:pPr>
        <w:spacing w:after="0" w:before="100"/>
      </w:pPr>
      <w:r>
        <w:t xml:space="preserve"/>
      </w:r>
    </w:p>
    <w:p>
      <w:pPr>
        <w:spacing w:after="120" w:before="0"/>
        <w:jc w:val="left"/>
      </w:pPr>
      <w:r>
        <w:rPr>
          <w:rFonts w:ascii="Arial" w:cs="Arial" w:eastAsia="Arial" w:hAnsi="Arial"/>
          <w:b w:val="false"/>
          <w:bCs w:val="false"/>
          <w:i w:val="false"/>
          <w:iCs w:val="false"/>
          <w:color w:val="111111"/>
          <w:sz w:val="21"/>
          <w:szCs w:val="21"/>
        </w:rPr>
        <w:t xml:space="preserve">The following wealth projections are constructed using the blended portfolio returns derived from each persona's recommended asset allocation model (detailed in the Excel model — Phase 3). Projections are presented in three scenarios: Base Case (target portfolio CAGR), Bear Case (portfolio underperforms by 2%), and Bull Case (portfolio outperforms by 2%). All values are in ₹ Lakhs. Inflation-adjusted (real) terminal values use CPI assumption of 5.5% p.a.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ARJUN MEHTA — Moderately Aggressive Portfolio</w:t>
            </w:r>
          </w:p>
          <w:p>
            <w:pPr>
              <w:spacing w:after="60" w:before="0"/>
              <w:jc w:val="left"/>
            </w:pPr>
            <w:r>
              <w:rPr>
                <w:rFonts w:ascii="Arial" w:cs="Arial" w:eastAsia="Arial" w:hAnsi="Arial"/>
                <w:b w:val="false"/>
                <w:bCs w:val="false"/>
                <w:i/>
                <w:iCs/>
                <w:color w:val="FFF3DC"/>
                <w:sz w:val="20"/>
                <w:szCs w:val="20"/>
              </w:rPr>
              <w:t xml:space="preserve">Starting AUM: ₹250 L  |  Base CAGR: 11.8%  |  Bear: 9.8%  |  Bull: 13.8%</w:t>
            </w:r>
          </w:p>
        </w:tc>
        <w:tc>
          <w:tcPr>
            <w:tcW w:type="dxa" w:w="23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0/100</w:t>
            </w:r>
          </w:p>
          <w:p>
            <w:pPr>
              <w:spacing w:after="40" w:before="0"/>
              <w:jc w:val="center"/>
            </w:pPr>
            <w:r>
              <w:rPr>
                <w:rFonts w:ascii="Arial" w:cs="Arial" w:eastAsia="Arial" w:hAnsi="Arial"/>
                <w:b w:val="false"/>
                <w:bCs w:val="false"/>
                <w:i/>
                <w:iCs/>
                <w:color w:val="FFF3DC"/>
                <w:sz w:val="16"/>
                <w:szCs w:val="16"/>
              </w:rPr>
              <w:t xml:space="preserve">Starting AUM: ₹250 L  |  Base CAGR: 11.8%  |  Bear: 9.8%  |  Bull: 13.8%</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00"/>
        <w:gridCol w:w="1500"/>
        <w:gridCol w:w="1700"/>
        <w:gridCol w:w="2360"/>
      </w:tblGrid>
      <w:tr>
        <w:tc>
          <w:tcPr>
            <w:tcW w:type="dxa" w:w="6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Year</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Bear Case
(9.8% CAGR)</w:t>
            </w:r>
          </w:p>
        </w:tc>
        <w:tc>
          <w:tcPr>
            <w:tcW w:type="dxa" w:w="17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Base Case
(11.8% CAGR)</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Bull Case
(13.8% CAGR)</w:t>
            </w:r>
          </w:p>
        </w:tc>
        <w:tc>
          <w:tcPr>
            <w:tcW w:type="dxa" w:w="17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Real Value
(Inflation-Adj)</w:t>
            </w:r>
          </w:p>
        </w:tc>
        <w:tc>
          <w:tcPr>
            <w:tcW w:type="dxa" w:w="23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Cumul. Return
(Base)</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₹274.5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₹279.5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₹284.5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₹264.9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₹301.4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₹312.5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₹323.8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₹280.7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₹330.9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₹349.4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₹368.4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₹297.5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40%</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₹363.4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₹390.6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₹419.3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₹315.3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56%</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₹399.0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₹436.7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₹477.1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₹334.1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75%</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₹438.1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₹488.2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₹543.0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₹354.1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95%</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7</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₹481.0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₹545.8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₹617.9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₹375.2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118%</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8</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₹528.2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₹610.2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₹703.2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₹397.6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144%</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9</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₹579.9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₹682.2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₹800.2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₹421.4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173%</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10</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₹636.7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₹762.7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₹910.7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₹446.5 L</w:t>
            </w:r>
          </w:p>
        </w:tc>
        <w:tc>
          <w:tcPr>
            <w:tcW w:type="dxa" w:w="2360"/>
            <w:tcBorders>
              <w:top w:val="single" w:color="C8D0DC" w:sz="4"/>
              <w:left w:val="single" w:color="C8D0DC" w:sz="4"/>
              <w:bottom w:val="single" w:color="C8D0DC" w:sz="4"/>
              <w:right w:val="single" w:color="C8D0DC" w:sz="4"/>
            </w:tcBorders>
            <w:shd w:fill="FFF3DC"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11111"/>
                <w:sz w:val="20"/>
                <w:szCs w:val="20"/>
              </w:rPr>
              <w:t xml:space="preserve">205%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vAlign w:val="center"/>
          </w:tcPr>
          <w:p>
            <w:pPr>
              <w:spacing w:after="100" w:before="100"/>
              <w:jc w:val="center"/>
            </w:pPr>
            <w:r>
              <w:rPr>
                <w:rFonts w:ascii="Arial" w:cs="Arial" w:eastAsia="Arial" w:hAnsi="Arial"/>
                <w:b/>
                <w:bCs/>
                <w:i w:val="false"/>
                <w:iCs w:val="false"/>
                <w:color w:val="FFFFFF"/>
                <w:sz w:val="28"/>
                <w:szCs w:val="28"/>
              </w:rPr>
              <w:t xml:space="preserve">!</w:t>
            </w:r>
          </w:p>
        </w:tc>
        <w:tc>
          <w:tcPr>
            <w:tcW w:type="dxa" w:w="8960"/>
            <w:tcBorders>
              <w:top w:val="single" w:color="1B3A6B" w:sz="6"/>
              <w:left w:val="single" w:color="1B3A6B" w:sz="6"/>
              <w:bottom w:val="single" w:color="1B3A6B" w:sz="6"/>
              <w:right w:val="single" w:color="1B3A6B" w:sz="6"/>
            </w:tcBorders>
            <w:shd w:fill="EEF2F7" w:val="clear"/>
            <w:tcMar>
              <w:top w:type="dxa" w:w="100"/>
              <w:left w:type="dxa" w:w="160"/>
              <w:bottom w:type="dxa" w:w="100"/>
              <w:right w:type="dxa" w:w="160"/>
            </w:tcMar>
            <w:vAlign w:val="top"/>
          </w:tcPr>
          <w:p>
            <w:pPr>
              <w:spacing w:after="100" w:before="100"/>
              <w:jc w:val="left"/>
            </w:pPr>
            <w:r>
              <w:rPr>
                <w:rFonts w:ascii="Arial" w:cs="Arial" w:eastAsia="Arial" w:hAnsi="Arial"/>
                <w:b w:val="false"/>
                <w:bCs w:val="false"/>
                <w:i/>
                <w:iCs/>
                <w:color w:val="111111"/>
                <w:sz w:val="21"/>
                <w:szCs w:val="21"/>
              </w:rPr>
              <w:t xml:space="preserve">At a blended CAGR of 11.8%, Arjun's ₹2.5 Cr corpus is projected to reach approximately ₹7.7 Cr in 10 years (base case) — equivalent to ₹4.5 Cr in today's purchasing power. This is short of his ₹8–10 Cr retirement target, which means SIP contributions from his monthly surplus of ₹1.45 L/month must be factored in. Total projected corpus including ongoing SIPs of ₹1 L/month for 12 years: ~₹11.2 Cr — comfortably within target.</w:t>
            </w:r>
          </w:p>
        </w:tc>
      </w:tr>
    </w:tbl>
    <w:p>
      <w:pPr>
        <w:spacing w:after="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SURESH RAJAN — Conservative Portfolio</w:t>
            </w:r>
          </w:p>
          <w:p>
            <w:pPr>
              <w:spacing w:after="60" w:before="0"/>
              <w:jc w:val="left"/>
            </w:pPr>
            <w:r>
              <w:rPr>
                <w:rFonts w:ascii="Arial" w:cs="Arial" w:eastAsia="Arial" w:hAnsi="Arial"/>
                <w:b w:val="false"/>
                <w:bCs w:val="false"/>
                <w:i/>
                <w:iCs/>
                <w:color w:val="FFF3DC"/>
                <w:sz w:val="20"/>
                <w:szCs w:val="20"/>
              </w:rPr>
              <w:t xml:space="preserve">Starting AUM: ₹600 L  |  Base CAGR: 8.2%  |  Bear: 6.2%  |  Bull: 10.2%</w:t>
            </w:r>
          </w:p>
        </w:tc>
        <w:tc>
          <w:tcPr>
            <w:tcW w:type="dxa" w:w="236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0/100</w:t>
            </w:r>
          </w:p>
          <w:p>
            <w:pPr>
              <w:spacing w:after="40" w:before="0"/>
              <w:jc w:val="center"/>
            </w:pPr>
            <w:r>
              <w:rPr>
                <w:rFonts w:ascii="Arial" w:cs="Arial" w:eastAsia="Arial" w:hAnsi="Arial"/>
                <w:b w:val="false"/>
                <w:bCs w:val="false"/>
                <w:i/>
                <w:iCs/>
                <w:color w:val="FFF3DC"/>
                <w:sz w:val="16"/>
                <w:szCs w:val="16"/>
              </w:rPr>
              <w:t xml:space="preserve">Starting AUM: ₹600 L  |  Base CAGR: 8.2%  |  Bear: 6.2%  |  Bull: 10.2%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00"/>
        <w:gridCol w:w="1500"/>
        <w:gridCol w:w="1700"/>
        <w:gridCol w:w="2360"/>
      </w:tblGrid>
      <w:tr>
        <w:tc>
          <w:tcPr>
            <w:tcW w:type="dxa" w:w="6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Year</w:t>
            </w:r>
          </w:p>
        </w:tc>
        <w:tc>
          <w:tcPr>
            <w:tcW w:type="dxa" w:w="15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Bear Case
(6.2% CAGR)</w:t>
            </w:r>
          </w:p>
        </w:tc>
        <w:tc>
          <w:tcPr>
            <w:tcW w:type="dxa" w:w="17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Base Case
(8.2% CAGR)</w:t>
            </w:r>
          </w:p>
        </w:tc>
        <w:tc>
          <w:tcPr>
            <w:tcW w:type="dxa" w:w="15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Bull Case
(10.2% CAGR)</w:t>
            </w:r>
          </w:p>
        </w:tc>
        <w:tc>
          <w:tcPr>
            <w:tcW w:type="dxa" w:w="17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Real Value
(Inflation-Adj)</w:t>
            </w:r>
          </w:p>
        </w:tc>
        <w:tc>
          <w:tcPr>
            <w:tcW w:type="dxa" w:w="236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Cumul. Return
(Base)</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₹637.2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₹649.2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₹661.2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₹615.4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₹676.7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₹702.4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₹728.6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₹631.1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17%</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₹718.7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₹760.0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₹803.0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₹647.3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27%</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₹763.2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₹822.4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₹884.9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₹663.8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37%</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₹810.5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₹889.8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₹975.1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₹680.8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48%</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₹860.8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₹962.8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₹1074.6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₹698.2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60%</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7</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₹914.2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₹1041.7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₹1184.2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₹716.1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74%</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8</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₹970.8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₹1127.1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₹1305.0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₹734.4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88%</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9</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₹1031.0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₹1219.5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₹1438.1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₹753.2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103%</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10</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₹1095.0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₹1319.5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₹1584.8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₹772.5 L</w:t>
            </w:r>
          </w:p>
        </w:tc>
        <w:tc>
          <w:tcPr>
            <w:tcW w:type="dxa" w:w="2360"/>
            <w:tcBorders>
              <w:top w:val="single" w:color="C8D0DC" w:sz="4"/>
              <w:left w:val="single" w:color="C8D0DC" w:sz="4"/>
              <w:bottom w:val="single" w:color="C8D0DC" w:sz="4"/>
              <w:right w:val="single" w:color="C8D0DC" w:sz="4"/>
            </w:tcBorders>
            <w:shd w:fill="D4EDE8"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11111"/>
                <w:sz w:val="20"/>
                <w:szCs w:val="20"/>
              </w:rPr>
              <w:t xml:space="preserve">120%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100" w:before="100"/>
              <w:jc w:val="center"/>
            </w:pPr>
            <w:r>
              <w:rPr>
                <w:rFonts w:ascii="Arial" w:cs="Arial" w:eastAsia="Arial" w:hAnsi="Arial"/>
                <w:b/>
                <w:bCs/>
                <w:i w:val="false"/>
                <w:iCs w:val="false"/>
                <w:color w:val="FFFFFF"/>
                <w:sz w:val="28"/>
                <w:szCs w:val="28"/>
              </w:rPr>
              <w:t xml:space="preserve">!</w:t>
            </w:r>
          </w:p>
        </w:tc>
        <w:tc>
          <w:tcPr>
            <w:tcW w:type="dxa" w:w="8960"/>
            <w:tcBorders>
              <w:top w:val="single" w:color="1A6B5A" w:sz="6"/>
              <w:left w:val="single" w:color="1A6B5A" w:sz="6"/>
              <w:bottom w:val="single" w:color="1A6B5A" w:sz="6"/>
              <w:right w:val="single" w:color="1A6B5A" w:sz="6"/>
            </w:tcBorders>
            <w:shd w:fill="D4EDE8" w:val="clear"/>
            <w:tcMar>
              <w:top w:type="dxa" w:w="100"/>
              <w:left w:type="dxa" w:w="160"/>
              <w:bottom w:type="dxa" w:w="100"/>
              <w:right w:type="dxa" w:w="160"/>
            </w:tcMar>
            <w:vAlign w:val="top"/>
          </w:tcPr>
          <w:p>
            <w:pPr>
              <w:spacing w:after="100" w:before="100"/>
              <w:jc w:val="left"/>
            </w:pPr>
            <w:r>
              <w:rPr>
                <w:rFonts w:ascii="Arial" w:cs="Arial" w:eastAsia="Arial" w:hAnsi="Arial"/>
                <w:b w:val="false"/>
                <w:bCs w:val="false"/>
                <w:i/>
                <w:iCs/>
                <w:color w:val="111111"/>
                <w:sz w:val="21"/>
                <w:szCs w:val="21"/>
              </w:rPr>
              <w:t xml:space="preserve">Suresh's ₹6 Cr corpus is projected to reach ₹13.1 Cr in 10 years at 8.2% base CAGR. Real value after inflation: ₹7.8 Cr. The SWP requirement of ₹1.5 L/month from Year 8 onward will draw approximately ₹18 L/year from the corpus, meaning the portfolio must sustain withdrawals while continuing to grow. At 8.2% CAGR, the corpus can support SWP for 25+ years before depletion — a robust retirement income plan.</w:t>
            </w:r>
          </w:p>
        </w:tc>
      </w:tr>
    </w:tbl>
    <w:p>
      <w:pPr>
        <w:spacing w:after="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PRIYA KAPOOR — Moderate (Multi-Bucket) Portfolio</w:t>
            </w:r>
          </w:p>
          <w:p>
            <w:pPr>
              <w:spacing w:after="60" w:before="0"/>
              <w:jc w:val="left"/>
            </w:pPr>
            <w:r>
              <w:rPr>
                <w:rFonts w:ascii="Arial" w:cs="Arial" w:eastAsia="Arial" w:hAnsi="Arial"/>
                <w:b w:val="false"/>
                <w:bCs w:val="false"/>
                <w:i/>
                <w:iCs/>
                <w:color w:val="FFF3DC"/>
                <w:sz w:val="20"/>
                <w:szCs w:val="20"/>
              </w:rPr>
              <w:t xml:space="preserve">Starting AUM: ₹400 L  |  Base CAGR: 10.3%  |  Bear: 8.3%  |  Bull: 12.3%</w:t>
            </w:r>
          </w:p>
        </w:tc>
        <w:tc>
          <w:tcPr>
            <w:tcW w:type="dxa" w:w="236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0/100</w:t>
            </w:r>
          </w:p>
          <w:p>
            <w:pPr>
              <w:spacing w:after="40" w:before="0"/>
              <w:jc w:val="center"/>
            </w:pPr>
            <w:r>
              <w:rPr>
                <w:rFonts w:ascii="Arial" w:cs="Arial" w:eastAsia="Arial" w:hAnsi="Arial"/>
                <w:b w:val="false"/>
                <w:bCs w:val="false"/>
                <w:i/>
                <w:iCs/>
                <w:color w:val="FFF3DC"/>
                <w:sz w:val="16"/>
                <w:szCs w:val="16"/>
              </w:rPr>
              <w:t xml:space="preserve">Starting AUM: ₹400 L  |  Base CAGR: 10.3%  |  Bear: 8.3%  |  Bull: 12.3%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00"/>
        <w:gridCol w:w="1500"/>
        <w:gridCol w:w="1700"/>
        <w:gridCol w:w="2360"/>
      </w:tblGrid>
      <w:tr>
        <w:tc>
          <w:tcPr>
            <w:tcW w:type="dxa" w:w="6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Year</w:t>
            </w:r>
          </w:p>
        </w:tc>
        <w:tc>
          <w:tcPr>
            <w:tcW w:type="dxa" w:w="15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Bear Case
(8.3% CAGR)</w:t>
            </w:r>
          </w:p>
        </w:tc>
        <w:tc>
          <w:tcPr>
            <w:tcW w:type="dxa" w:w="17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Base Case
(10.3% CAGR)</w:t>
            </w:r>
          </w:p>
        </w:tc>
        <w:tc>
          <w:tcPr>
            <w:tcW w:type="dxa" w:w="15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Bull Case
(12.3% CAGR)</w:t>
            </w:r>
          </w:p>
        </w:tc>
        <w:tc>
          <w:tcPr>
            <w:tcW w:type="dxa" w:w="17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Real Value
(Inflation-Adj)</w:t>
            </w:r>
          </w:p>
        </w:tc>
        <w:tc>
          <w:tcPr>
            <w:tcW w:type="dxa" w:w="236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Cumul. Return
(Base)</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₹433.2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₹441.2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₹449.2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₹418.2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₹469.2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₹486.6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₹504.5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₹437.2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22%</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₹508.1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₹536.8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₹566.5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₹457.1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34%</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₹550.3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₹592.1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₹636.2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₹477.9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48%</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₹595.9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₹653.0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₹714.4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₹499.7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63%</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₹645.4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₹720.3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₹802.3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₹522.4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80%</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7</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₹699.0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₹794.5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₹901.0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₹546.2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99%</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8</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₹757.0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₹876.3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₹1011.8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₹571.0 L</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119%</w:t>
            </w:r>
          </w:p>
        </w:tc>
      </w:tr>
      <w:tr>
        <w:tc>
          <w:tcPr>
            <w:tcW w:type="dxa" w:w="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9</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₹819.8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₹966.6 L</w:t>
            </w:r>
          </w:p>
        </w:tc>
        <w:tc>
          <w:tcPr>
            <w:tcW w:type="dxa" w:w="15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₹1136.3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₹597.0 L</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142%</w:t>
            </w:r>
          </w:p>
        </w:tc>
      </w:tr>
      <w:tr>
        <w:tc>
          <w:tcPr>
            <w:tcW w:type="dxa" w:w="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10</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₹887.9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₹1066.1 L</w:t>
            </w:r>
          </w:p>
        </w:tc>
        <w:tc>
          <w:tcPr>
            <w:tcW w:type="dxa" w:w="15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₹1276.0 L</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₹624.2 L</w:t>
            </w:r>
          </w:p>
        </w:tc>
        <w:tc>
          <w:tcPr>
            <w:tcW w:type="dxa" w:w="2360"/>
            <w:tcBorders>
              <w:top w:val="single" w:color="C8D0DC" w:sz="4"/>
              <w:left w:val="single" w:color="C8D0DC" w:sz="4"/>
              <w:bottom w:val="single" w:color="C8D0DC" w:sz="4"/>
              <w:right w:val="single" w:color="C8D0DC" w:sz="4"/>
            </w:tcBorders>
            <w:shd w:fill="FFF3D4"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11111"/>
                <w:sz w:val="20"/>
                <w:szCs w:val="20"/>
              </w:rPr>
              <w:t xml:space="preserve">167%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center"/>
          </w:tcPr>
          <w:p>
            <w:pPr>
              <w:spacing w:after="100" w:before="100"/>
              <w:jc w:val="center"/>
            </w:pPr>
            <w:r>
              <w:rPr>
                <w:rFonts w:ascii="Arial" w:cs="Arial" w:eastAsia="Arial" w:hAnsi="Arial"/>
                <w:b/>
                <w:bCs/>
                <w:i w:val="false"/>
                <w:iCs w:val="false"/>
                <w:color w:val="FFFFFF"/>
                <w:sz w:val="28"/>
                <w:szCs w:val="28"/>
              </w:rPr>
              <w:t xml:space="preserve">!</w:t>
            </w:r>
          </w:p>
        </w:tc>
        <w:tc>
          <w:tcPr>
            <w:tcW w:type="dxa" w:w="8960"/>
            <w:tcBorders>
              <w:top w:val="single" w:color="2E5FAC" w:sz="6"/>
              <w:left w:val="single" w:color="2E5FAC" w:sz="6"/>
              <w:bottom w:val="single" w:color="2E5FAC" w:sz="6"/>
              <w:right w:val="single" w:color="2E5FAC" w:sz="6"/>
            </w:tcBorders>
            <w:shd w:fill="FFF3D4" w:val="clear"/>
            <w:tcMar>
              <w:top w:type="dxa" w:w="100"/>
              <w:left w:type="dxa" w:w="160"/>
              <w:bottom w:type="dxa" w:w="100"/>
              <w:right w:type="dxa" w:w="160"/>
            </w:tcMar>
            <w:vAlign w:val="top"/>
          </w:tcPr>
          <w:p>
            <w:pPr>
              <w:spacing w:after="100" w:before="100"/>
              <w:jc w:val="left"/>
            </w:pPr>
            <w:r>
              <w:rPr>
                <w:rFonts w:ascii="Arial" w:cs="Arial" w:eastAsia="Arial" w:hAnsi="Arial"/>
                <w:b w:val="false"/>
                <w:bCs w:val="false"/>
                <w:i/>
                <w:iCs/>
                <w:color w:val="111111"/>
                <w:sz w:val="21"/>
                <w:szCs w:val="21"/>
              </w:rPr>
              <w:t xml:space="preserve">Priya's total ₹4 Cr corpus at 10.3% CAGR projects to ₹10.7 Cr in 10 years — precisely at her stated target of ₹10 Cr by age 55. However, this excludes the ₹1.2 Cr Bucket 1 earmarked for education (deployed in Year 2) and ₹1 Cr for home purchase (deployed in Year 3). The effective long-term growth corpus is ₹1.8 Cr which projects to ₹4.8 Cr — plus repatriated Singapore savings of ₹1.8 Cr invested in Year 1–2 adding another ₹4.5 Cr. Combined terminal wealth: ₹9.3–10.5 Cr. Goal achievable.</w:t>
            </w:r>
          </w:p>
        </w:tc>
      </w:tr>
    </w:tbl>
    <w:p>
      <w:pPr>
        <w:spacing w:after="0" w:before="12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445566"/>
          <w:sz w:val="24"/>
          <w:szCs w:val="24"/>
        </w:rPr>
        <w:t xml:space="preserve">Monte Carlo Simulation — Probability-Weighted Outcomes</w:t>
      </w:r>
    </w:p>
    <w:p>
      <w:pPr>
        <w:spacing w:after="0" w:before="80"/>
      </w:pPr>
      <w:r>
        <w:t xml:space="preserve"/>
      </w:r>
    </w:p>
    <w:p>
      <w:pPr>
        <w:spacing w:after="80" w:before="0"/>
        <w:jc w:val="left"/>
      </w:pPr>
      <w:r>
        <w:rPr>
          <w:rFonts w:ascii="Arial" w:cs="Arial" w:eastAsia="Arial" w:hAnsi="Arial"/>
          <w:b w:val="false"/>
          <w:bCs w:val="false"/>
          <w:i/>
          <w:iCs/>
          <w:color w:val="111111"/>
          <w:sz w:val="20"/>
          <w:szCs w:val="20"/>
        </w:rPr>
        <w:t xml:space="preserve">Monte Carlo simulation was run using 1,000 scenarios per persona, sampling annual returns from a normal distribution with the portfolio's expected return as the mean and its standard deviation as the dispersion parameter. The Excel model (Phase 3) contains the full simulation engine. Results below represent the 10th, 50th, and 90th percentile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2000"/>
        <w:gridCol w:w="1860"/>
      </w:tblGrid>
      <w:tr>
        <w:tc>
          <w:tcPr>
            <w:tcW w:type="dxa" w:w="1800"/>
            <w:tcBorders>
              <w:top w:val="single" w:color="445566" w:sz="6"/>
              <w:left w:val="single" w:color="445566" w:sz="6"/>
              <w:bottom w:val="single" w:color="445566" w:sz="6"/>
              <w:right w:val="single" w:color="445566" w:sz="6"/>
            </w:tcBorders>
            <w:shd w:fill="445566"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Persona</w:t>
            </w:r>
          </w:p>
        </w:tc>
        <w:tc>
          <w:tcPr>
            <w:tcW w:type="dxa" w:w="2000"/>
            <w:tcBorders>
              <w:top w:val="single" w:color="445566" w:sz="6"/>
              <w:left w:val="single" w:color="445566" w:sz="6"/>
              <w:bottom w:val="single" w:color="445566" w:sz="6"/>
              <w:right w:val="single" w:color="445566" w:sz="6"/>
            </w:tcBorders>
            <w:shd w:fill="445566"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10th Percentile (Worst 10%)</w:t>
            </w:r>
          </w:p>
        </w:tc>
        <w:tc>
          <w:tcPr>
            <w:tcW w:type="dxa" w:w="1700"/>
            <w:tcBorders>
              <w:top w:val="single" w:color="445566" w:sz="6"/>
              <w:left w:val="single" w:color="445566" w:sz="6"/>
              <w:bottom w:val="single" w:color="445566" w:sz="6"/>
              <w:right w:val="single" w:color="445566" w:sz="6"/>
            </w:tcBorders>
            <w:shd w:fill="445566"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50th Percentile (Median)</w:t>
            </w:r>
          </w:p>
        </w:tc>
        <w:tc>
          <w:tcPr>
            <w:tcW w:type="dxa" w:w="2000"/>
            <w:tcBorders>
              <w:top w:val="single" w:color="445566" w:sz="6"/>
              <w:left w:val="single" w:color="445566" w:sz="6"/>
              <w:bottom w:val="single" w:color="445566" w:sz="6"/>
              <w:right w:val="single" w:color="445566" w:sz="6"/>
            </w:tcBorders>
            <w:shd w:fill="445566"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90th Percentile (Best 10%)</w:t>
            </w:r>
          </w:p>
        </w:tc>
        <w:tc>
          <w:tcPr>
            <w:tcW w:type="dxa" w:w="1860"/>
            <w:tcBorders>
              <w:top w:val="single" w:color="445566" w:sz="6"/>
              <w:left w:val="single" w:color="445566" w:sz="6"/>
              <w:bottom w:val="single" w:color="445566" w:sz="6"/>
              <w:right w:val="single" w:color="445566" w:sz="6"/>
            </w:tcBorders>
            <w:shd w:fill="445566"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Probability of Meeting Goal</w:t>
            </w:r>
          </w:p>
        </w:tc>
      </w:tr>
      <w:tr>
        <w:tc>
          <w:tcPr>
            <w:tcW w:type="dxa" w:w="1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Arjun Mehta (₹2.5 Cr)</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₹4.8 Cr (−38% vs base)</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₹7.5 Cr</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₹11.2 Cr (+45% vs base)</w:t>
            </w:r>
          </w:p>
        </w:tc>
        <w:tc>
          <w:tcPr>
            <w:tcW w:type="dxa" w:w="18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~78% (including SIPs)</w:t>
            </w:r>
          </w:p>
        </w:tc>
      </w:tr>
      <w:tr>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Suresh Rajan (₹6 Cr)</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₹9.6 Cr (−27% vs base)</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₹13.0 Cr</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₹17.1 Cr (+31% vs base)</w:t>
            </w:r>
          </w:p>
        </w:tc>
        <w:tc>
          <w:tcPr>
            <w:tcW w:type="dxa" w:w="18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~91% (capital preservation)</w:t>
            </w:r>
          </w:p>
        </w:tc>
      </w:tr>
      <w:tr>
        <w:tc>
          <w:tcPr>
            <w:tcW w:type="dxa" w:w="1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Priya Kapoor (₹4 Cr)</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₹6.8 Cr (−36% vs base)</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₹10.5 Cr</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₹14.3 Cr (+34% vs base)</w:t>
            </w:r>
          </w:p>
        </w:tc>
        <w:tc>
          <w:tcPr>
            <w:tcW w:type="dxa" w:w="18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~72% (with SG repatriation)</w:t>
            </w:r>
          </w:p>
        </w:tc>
      </w:tr>
    </w:tbl>
    <w:p>
      <w:pPr>
        <w:spacing w:after="80" w:before="80"/>
        <w:jc w:val="left"/>
      </w:pPr>
      <w:r>
        <w:br w:type="page"/>
      </w:r>
    </w:p>
    <w:p>
      <w:pPr>
        <w:spacing w:after="0" w:before="200"/>
      </w:pPr>
      <w:r>
        <w:t xml:space="preserve"/>
      </w:r>
    </w:p>
    <w:p>
      <w:pPr>
        <w:pBdr>
          <w:bottom w:val="single" w:color="C8962E" w:sz="8" w:space="3"/>
        </w:pBdr>
        <w:spacing w:after="0" w:before="0"/>
      </w:pPr>
      <w:r>
        <w:rPr>
          <w:rFonts w:ascii="Arial" w:cs="Arial" w:eastAsia="Arial" w:hAnsi="Arial"/>
          <w:b w:val="false"/>
          <w:bCs w:val="false"/>
          <w:i w:val="false"/>
          <w:iCs w:val="false"/>
          <w:color w:val="111111"/>
          <w:sz w:val="28"/>
          <w:szCs w:val="28"/>
        </w:rPr>
        <w:t xml:space="preserve">  </w:t>
      </w:r>
      <w:r>
        <w:rPr>
          <w:rFonts w:ascii="Arial" w:cs="Arial" w:eastAsia="Arial" w:hAnsi="Arial"/>
          <w:b/>
          <w:bCs/>
          <w:i w:val="false"/>
          <w:iCs w:val="false"/>
          <w:color w:val="B86A00"/>
          <w:sz w:val="28"/>
          <w:szCs w:val="28"/>
        </w:rPr>
        <w:t xml:space="preserve">PHASE 6</w:t>
      </w:r>
      <w:r>
        <w:rPr>
          <w:rFonts w:ascii="Arial" w:cs="Arial" w:eastAsia="Arial" w:hAnsi="Arial"/>
          <w:b w:val="false"/>
          <w:bCs w:val="false"/>
          <w:i/>
          <w:iCs/>
          <w:color w:val="666666"/>
          <w:sz w:val="20"/>
          <w:szCs w:val="20"/>
        </w:rPr>
        <w:t xml:space="preserve">   Pre-Meeting Advisory Memos — All Three Personas</w:t>
      </w:r>
    </w:p>
    <w:p>
      <w:pPr>
        <w:spacing w:after="0" w:before="100"/>
      </w:pPr>
      <w:r>
        <w:t xml:space="preserve"/>
      </w:r>
    </w:p>
    <w:p>
      <w:pPr>
        <w:spacing w:after="120" w:before="0"/>
        <w:jc w:val="left"/>
      </w:pPr>
      <w:r>
        <w:rPr>
          <w:rFonts w:ascii="Arial" w:cs="Arial" w:eastAsia="Arial" w:hAnsi="Arial"/>
          <w:b w:val="false"/>
          <w:bCs w:val="false"/>
          <w:i w:val="false"/>
          <w:iCs w:val="false"/>
          <w:color w:val="111111"/>
          <w:sz w:val="21"/>
          <w:szCs w:val="21"/>
        </w:rPr>
        <w:t xml:space="preserve">A pre-meeting advisory memo is the document a Relationship Manager prepares before every client portfolio review. It gives the RM a structured brief of the client's current position, performance since the last review, recommended actions, and a proposed meeting agenda. The ability to write this memo — not just understand the theory — is what separates a wealth management professional from a generalist sales hire.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ADVISORY MEMO — ARJUN MEHTA</w:t>
            </w:r>
          </w:p>
          <w:p>
            <w:pPr>
              <w:spacing w:after="60" w:before="0"/>
              <w:jc w:val="left"/>
            </w:pPr>
            <w:r>
              <w:rPr>
                <w:rFonts w:ascii="Arial" w:cs="Arial" w:eastAsia="Arial" w:hAnsi="Arial"/>
                <w:b w:val="false"/>
                <w:bCs w:val="false"/>
                <w:i/>
                <w:iCs/>
                <w:color w:val="FFF3DC"/>
                <w:sz w:val="20"/>
                <w:szCs w:val="20"/>
              </w:rPr>
              <w:t xml:space="preserve">Moderately Aggressive  |  AUM: ₹2.5 Cr  |  June 2025</w:t>
            </w:r>
          </w:p>
        </w:tc>
        <w:tc>
          <w:tcPr>
            <w:tcW w:type="dxa" w:w="23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68/100</w:t>
            </w:r>
          </w:p>
          <w:p>
            <w:pPr>
              <w:spacing w:after="40" w:before="0"/>
              <w:jc w:val="center"/>
            </w:pPr>
            <w:r>
              <w:rPr>
                <w:rFonts w:ascii="Arial" w:cs="Arial" w:eastAsia="Arial" w:hAnsi="Arial"/>
                <w:b w:val="false"/>
                <w:bCs w:val="false"/>
                <w:i/>
                <w:iCs/>
                <w:color w:val="FFF3DC"/>
                <w:sz w:val="16"/>
                <w:szCs w:val="16"/>
              </w:rPr>
              <w:t xml:space="preserve">Moderately Aggressive  |  AUM: ₹2.5 Cr  |  June 2025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Meeting Date</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To be scheduled — June / July 2025  |  Duration: 60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Meeting Location</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ICICI Wealth Centre, Bengaluru / Client's office (Koramangala)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Last Review</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Initial onboarding — First advisory meeting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RM</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Relationship Manager, ICICI Wealth — Bengaluru HNI Desk</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Client Snapshot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Current Portfolio Mix</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~72% equity MF + direct stocks  |  ₹8L FD (emergency)  |  PPF ₹14L  |  EPF ₹18L — No alternatives, no debt MF</w:t>
            </w:r>
          </w:p>
        </w:tc>
      </w:tr>
      <w:tr>
        <w:tc>
          <w:tcPr>
            <w:tcW w:type="dxa" w:w="2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Since Last Review</w:t>
            </w:r>
          </w:p>
        </w:tc>
        <w:tc>
          <w:tcPr>
            <w:tcW w:type="dxa" w:w="6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First engagement — baseline snapshot</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Outstanding Flag</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Home loan ₹38L, 9 years remaining  |  EMI ₹32,000/month  |  No personal term insurance</w:t>
            </w:r>
          </w:p>
        </w:tc>
      </w:tr>
      <w:tr>
        <w:tc>
          <w:tcPr>
            <w:tcW w:type="dxa" w:w="2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KYC Status</w:t>
            </w:r>
          </w:p>
        </w:tc>
        <w:tc>
          <w:tcPr>
            <w:tcW w:type="dxa" w:w="6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Complete — PAN, Aadhaar, bank mandate verified  |  ICICI Direct demat active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Portfolio Performance Assessment</w:t>
      </w:r>
    </w:p>
    <w:p>
      <w:pPr>
        <w:spacing w:after="0" w:before="80"/>
      </w:pPr>
      <w:r>
        <w:t xml:space="preserve"/>
      </w:r>
    </w:p>
    <w:p>
      <w:pPr>
        <w:spacing w:after="80" w:before="0"/>
        <w:jc w:val="left"/>
      </w:pPr>
      <w:r>
        <w:rPr>
          <w:rFonts w:ascii="Arial" w:cs="Arial" w:eastAsia="Arial" w:hAnsi="Arial"/>
          <w:b w:val="false"/>
          <w:bCs w:val="false"/>
          <w:i/>
          <w:iCs/>
          <w:color w:val="111111"/>
          <w:sz w:val="20"/>
          <w:szCs w:val="20"/>
        </w:rPr>
        <w:t xml:space="preserve">As this is the first advisory meeting, no historical performance data is available for comparison. The assessment below is a gap analysis of the existing self-managed portfolio versus the recommended IPS target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000"/>
        <w:gridCol w:w="3360"/>
      </w:tblGrid>
      <w:tr>
        <w:tc>
          <w:tcPr>
            <w:tcW w:type="dxa" w:w="20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Asset Class</w:t>
            </w:r>
          </w:p>
        </w:tc>
        <w:tc>
          <w:tcPr>
            <w:tcW w:type="dxa" w:w="17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Current Allocation</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IPS Target</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Gap</w:t>
            </w:r>
          </w:p>
        </w:tc>
        <w:tc>
          <w:tcPr>
            <w:tcW w:type="dxa" w:w="33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Recommended Action</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Equity MF (Large + Flexi + Mid)</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 (self-managed)</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50%</w:t>
            </w:r>
          </w:p>
        </w:tc>
        <w:tc>
          <w:tcPr>
            <w:tcW w:type="dxa" w:w="1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3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Minor rebalance — trim 1–2 existing funds that overlap in holdings</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Direct Equity (3–4 stocks)</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~17%</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w:t>
            </w:r>
          </w:p>
        </w:tc>
        <w:tc>
          <w:tcPr>
            <w:tcW w:type="dxa" w:w="1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−17%</w:t>
            </w:r>
          </w:p>
        </w:tc>
        <w:tc>
          <w:tcPr>
            <w:tcW w:type="dxa" w:w="3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EXIT recommendation — insufficient diversification, no alpha vs index</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PMS</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1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w:t>
            </w:r>
          </w:p>
        </w:tc>
        <w:tc>
          <w:tcPr>
            <w:tcW w:type="dxa" w:w="3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OPEN — Minimum ₹50L. Recommend ICICI Pru PMS Multicap Strategy</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AIF Category II</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3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OPEN — Minimum ₹1 Cr tranche. 3–5 yr lock-in client consent required</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Debt MF</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1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w:t>
            </w:r>
          </w:p>
        </w:tc>
        <w:tc>
          <w:tcPr>
            <w:tcW w:type="dxa" w:w="3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OPEN — ICICI Pru Corporate Bond Fund via STP from FD proceeds</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REIT</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1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w:t>
            </w:r>
          </w:p>
        </w:tc>
        <w:tc>
          <w:tcPr>
            <w:tcW w:type="dxa" w:w="3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OPEN — Embassy + Mindspace via ICICI Direct</w:t>
            </w:r>
          </w:p>
        </w:tc>
      </w:tr>
      <w:tr>
        <w:tc>
          <w:tcPr>
            <w:tcW w:type="dxa" w:w="20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SGB</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1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w:t>
            </w:r>
          </w:p>
        </w:tc>
        <w:tc>
          <w:tcPr>
            <w:tcW w:type="dxa" w:w="3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OPEN — Next RBI SGB tranche subscription</w:t>
            </w:r>
          </w:p>
        </w:tc>
      </w:tr>
      <w:tr>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International Fund</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w:t>
            </w:r>
          </w:p>
        </w:tc>
        <w:tc>
          <w:tcPr>
            <w:tcW w:type="dxa" w:w="1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w:t>
            </w:r>
          </w:p>
        </w:tc>
        <w:tc>
          <w:tcPr>
            <w:tcW w:type="dxa" w:w="3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OPEN — ICICI Pru US Bluechip FoF lumpsum</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Recommendations for This Meeting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300"/>
        <w:gridCol w:w="1700"/>
        <w:gridCol w:w="3760"/>
      </w:tblGrid>
      <w:tr>
        <w:tc>
          <w:tcPr>
            <w:tcW w:type="dxa" w:w="4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w:t>
            </w:r>
          </w:p>
        </w:tc>
        <w:tc>
          <w:tcPr>
            <w:tcW w:type="dxa" w:w="2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Recommendation</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Amount</w:t>
            </w:r>
          </w:p>
        </w:tc>
        <w:tc>
          <w:tcPr>
            <w:tcW w:type="dxa" w:w="17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Product</w:t>
            </w:r>
          </w:p>
        </w:tc>
        <w:tc>
          <w:tcPr>
            <w:tcW w:type="dxa" w:w="37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Rationale</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2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Exit all 3–4 direct equity positions</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Liquidate to ICICI Savings</w:t>
            </w:r>
          </w:p>
        </w:tc>
        <w:tc>
          <w:tcPr>
            <w:tcW w:type="dxa" w:w="3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Direct equity without research infrastructure generates no consistent alpha. Proceeds fund REIT allocation.</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Open ICICI Pru PMS — Multicap Strategy</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₹50 L (lumpsum)</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PMS</w:t>
            </w:r>
          </w:p>
        </w:tc>
        <w:tc>
          <w:tcPr>
            <w:tcW w:type="dxa" w:w="3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Alpha generation opportunity. Client has ₹2.5 Cr AUM — PMS adds institutional-grade portfolio construction.</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2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Deploy ₹25 L into AIF Cat II (first tranche)</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 L</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Kotak / ICICI AIF Cat II</w:t>
            </w:r>
          </w:p>
        </w:tc>
        <w:tc>
          <w:tcPr>
            <w:tcW w:type="dxa" w:w="3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Illiquidity premium + low equity correlation. Client understands 3–5 yr lock-in (confirmed in risk questionnaire Q4, Q6).</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Initiate STP into Corporate Bond MF</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 L over 6 months</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Corporate Bond Fund</w:t>
            </w:r>
          </w:p>
        </w:tc>
        <w:tc>
          <w:tcPr>
            <w:tcW w:type="dxa" w:w="3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Transition from FD mindset — better post-tax yield than FD without significant duration risk.</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2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Purchase ₹2 Cr term insurance</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Premium ~₹28K p.a.</w:t>
            </w:r>
          </w:p>
        </w:tc>
        <w:tc>
          <w:tcPr>
            <w:tcW w:type="dxa" w:w="17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iProtect Smart</w:t>
            </w:r>
          </w:p>
        </w:tc>
        <w:tc>
          <w:tcPr>
            <w:tcW w:type="dxa" w:w="3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Critical protection gap — employer group cover of ₹42L is grossly inadequate for ₹3.1 Cr net worth.</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w:t>
            </w:r>
          </w:p>
        </w:tc>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Apply for next RBI SGB tranche</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₹12.5 L (5% of AUM)</w:t>
            </w:r>
          </w:p>
        </w:tc>
        <w:tc>
          <w:tcPr>
            <w:tcW w:type="dxa" w:w="17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Sovereign Gold Bond</w:t>
            </w:r>
          </w:p>
        </w:tc>
        <w:tc>
          <w:tcPr>
            <w:tcW w:type="dxa" w:w="3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Tax-free capital gains at maturity + 2.5% interest. Superior to physical gold in every metric.</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Tax Considerations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LTCG Exemption Harvest</w:t>
            </w:r>
          </w:p>
        </w:tc>
        <w:tc>
          <w:tcPr>
            <w:tcW w:type="dxa" w:w="6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Arjun has existing equity MF with unrealised LTCG. Review and book gains up to ₹1.25 L before March 2026 to utilise annual exemption. Reinvest same day to maintain market exposure.</w:t>
            </w:r>
          </w:p>
        </w:tc>
      </w:tr>
      <w:tr>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FD to Debt MF Migration</w:t>
            </w:r>
          </w:p>
        </w:tc>
        <w:tc>
          <w:tcPr>
            <w:tcW w:type="dxa" w:w="6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₹8 L FD — interest is fully taxable at slab (30%). ICICI Pru Corporate Bond MF has equal safety profile but superior tax treatment.</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PMS Taxation</w:t>
            </w:r>
          </w:p>
        </w:tc>
        <w:tc>
          <w:tcPr>
            <w:tcW w:type="dxa" w:w="6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PMS returns are taxed at individual stock level (LTCG 12.5%, STCG 20%). RM must review PMS portfolio turnover before recommending — high churn erodes net returns.</w:t>
            </w:r>
          </w:p>
        </w:tc>
      </w:tr>
      <w:tr>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SGB Tax Benefit</w:t>
            </w:r>
          </w:p>
        </w:tc>
        <w:tc>
          <w:tcPr>
            <w:tcW w:type="dxa" w:w="6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Zero capital gains tax if SGB held to maturity (8 years). Ensure Arjun's SGBs are tagged to the 8-year maturity — do not redeem early on exchange.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Meeting Agenda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Time</w:t>
            </w:r>
          </w:p>
        </w:tc>
        <w:tc>
          <w:tcPr>
            <w:tcW w:type="dxa" w:w="28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Agenda Item</w:t>
            </w:r>
          </w:p>
        </w:tc>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Duration</w:t>
            </w:r>
          </w:p>
        </w:tc>
        <w:tc>
          <w:tcPr>
            <w:tcW w:type="dxa" w:w="41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Outcome Expected</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0:00 – 0:10</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IPS presentation and sign-off</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signs IPS — formalises advisory mandate</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0:10 – 0:20</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Gap analysis walkthrough — current vs recommended</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understands reallocation rationale</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0:20 – 0:35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PMS and AIF deep-dive — product explanation, lock-in, fee structure</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approves PMS and AIF allocation</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0:35 – 0:45</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Term insurance gap — coverage discussion</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agrees to term insurance application</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0:45 – 0:55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Tax planning — LTCG harvest, SGB, FD migration</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Tax action items agreed</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0:55 – 1:00</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Next steps and review schedule</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Action items logged, next meeting booked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A00" w:sz="8"/>
              <w:left w:val="single" w:color="B86A00" w:sz="8"/>
              <w:bottom w:val="single" w:color="B86A00" w:sz="8"/>
              <w:right w:val="single" w:color="B86A00" w:sz="8"/>
            </w:tcBorders>
            <w:shd w:fill="B86A00"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FFFFFF"/>
                <w:sz w:val="20"/>
                <w:szCs w:val="20"/>
              </w:rPr>
              <w:t xml:space="preserve">RM ALERTS — Behavioural Watch for This Meeting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86A00" w:sz="4"/>
              <w:left w:val="single" w:color="B86A00" w:sz="4"/>
              <w:bottom w:val="single" w:color="B86A00" w:sz="4"/>
              <w:right w:val="single" w:color="B86A00" w:sz="4"/>
            </w:tcBorders>
            <w:shd w:fill="B86A00"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1</w:t>
            </w:r>
          </w:p>
        </w:tc>
        <w:tc>
          <w:tcPr>
            <w:tcW w:type="dxa" w:w="8960"/>
            <w:tcBorders>
              <w:top w:val="single" w:color="C8D0DC" w:sz="4"/>
              <w:left w:val="single" w:color="C8D0DC" w:sz="4"/>
              <w:bottom w:val="single" w:color="C8D0DC" w:sz="4"/>
              <w:right w:val="single" w:color="C8D0DC" w:sz="4"/>
            </w:tcBorders>
            <w:shd w:fill="FFF3D4"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OVERCONFIDENCE: Client may resist exiting direct equity positions. Use data — show 3-year return of his 3–4 stocks vs Nifty 50 TRI. Let the numbers make the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86A00" w:sz="4"/>
              <w:left w:val="single" w:color="B86A00" w:sz="4"/>
              <w:bottom w:val="single" w:color="B86A00" w:sz="4"/>
              <w:right w:val="single" w:color="B86A00" w:sz="4"/>
            </w:tcBorders>
            <w:shd w:fill="B86A00"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2</w:t>
            </w:r>
          </w:p>
        </w:tc>
        <w:tc>
          <w:tcPr>
            <w:tcW w:type="dxa" w:w="8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RECENCY BIAS: If client cites 2023 bull run to justify higher equity, refer to 2020 and 2022 drawdown data. Show how a 60% equity + alternatives portfolio handled both periods better.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86A00" w:sz="4"/>
              <w:left w:val="single" w:color="B86A00" w:sz="4"/>
              <w:bottom w:val="single" w:color="B86A00" w:sz="4"/>
              <w:right w:val="single" w:color="B86A00" w:sz="4"/>
            </w:tcBorders>
            <w:shd w:fill="B86A00"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3</w:t>
            </w:r>
          </w:p>
        </w:tc>
        <w:tc>
          <w:tcPr>
            <w:tcW w:type="dxa" w:w="8960"/>
            <w:tcBorders>
              <w:top w:val="single" w:color="C8D0DC" w:sz="4"/>
              <w:left w:val="single" w:color="C8D0DC" w:sz="4"/>
              <w:bottom w:val="single" w:color="C8D0DC" w:sz="4"/>
              <w:right w:val="single" w:color="C8D0DC" w:sz="4"/>
            </w:tcBorders>
            <w:shd w:fill="FFF3D4"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ANCHORING: Client may want to 'wait for the market to dip' before deploying AIF tranche. Counter with STP approach and data showing market timing costs vs time-in-market.</w:t>
            </w:r>
          </w:p>
        </w:tc>
      </w:tr>
    </w:tbl>
    <w:p>
      <w:pPr>
        <w:spacing w:after="80" w:before="80"/>
        <w:jc w:val="left"/>
      </w:pPr>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ADVISORY MEMO — SURESH RAJAN</w:t>
            </w:r>
          </w:p>
          <w:p>
            <w:pPr>
              <w:spacing w:after="60" w:before="0"/>
              <w:jc w:val="left"/>
            </w:pPr>
            <w:r>
              <w:rPr>
                <w:rFonts w:ascii="Arial" w:cs="Arial" w:eastAsia="Arial" w:hAnsi="Arial"/>
                <w:b w:val="false"/>
                <w:bCs w:val="false"/>
                <w:i/>
                <w:iCs/>
                <w:color w:val="FFF3DC"/>
                <w:sz w:val="20"/>
                <w:szCs w:val="20"/>
              </w:rPr>
              <w:t xml:space="preserve">Conservative  |  AUM: ₹6 Cr  |  June 2025</w:t>
            </w:r>
          </w:p>
        </w:tc>
        <w:tc>
          <w:tcPr>
            <w:tcW w:type="dxa" w:w="236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28/100</w:t>
            </w:r>
          </w:p>
          <w:p>
            <w:pPr>
              <w:spacing w:after="40" w:before="0"/>
              <w:jc w:val="center"/>
            </w:pPr>
            <w:r>
              <w:rPr>
                <w:rFonts w:ascii="Arial" w:cs="Arial" w:eastAsia="Arial" w:hAnsi="Arial"/>
                <w:b w:val="false"/>
                <w:bCs w:val="false"/>
                <w:i/>
                <w:iCs/>
                <w:color w:val="FFF3DC"/>
                <w:sz w:val="16"/>
                <w:szCs w:val="16"/>
              </w:rPr>
              <w:t xml:space="preserve">Conservative  |  AUM: ₹6 Cr  |  June 2025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Meeting Date</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To be scheduled — June / July 2025  |  Duration: 90 minutes (complexity warrants extended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Meeting Location</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Client's residence, R.A. Puram, Chennai  (client prefers home meetings — note for 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RM</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Relationship Manager, ICICI Wealth — Chennai HNI Desk</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Client Snapshot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Current Portfolio Mix</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₹1.1 Cr FDs  |  ₹32L PPF  |  ₹18L LIC endowment  |  ₹24L Debt MF  |  ₹30L Equity MF SIP  |  ₹22L Gold  |  ₹48L EPF</w:t>
            </w:r>
          </w:p>
        </w:tc>
      </w:tr>
      <w:tr>
        <w:tc>
          <w:tcPr>
            <w:tcW w:type="dxa" w:w="2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Key Concern</w:t>
            </w:r>
          </w:p>
        </w:tc>
        <w:tc>
          <w:tcPr>
            <w:tcW w:type="dxa" w:w="6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Client does not fully understand that FD real return post-tax and post-inflation is near zero. This is the central message of this meeting.</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Retirement Timeline</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8 years to superannuation (BHEL) — moderate urgency to restructure now before retirement corpus crystallises</w:t>
            </w:r>
          </w:p>
        </w:tc>
      </w:tr>
      <w:tr>
        <w:tc>
          <w:tcPr>
            <w:tcW w:type="dxa" w:w="2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Estate Planning</w:t>
            </w:r>
          </w:p>
        </w:tc>
        <w:tc>
          <w:tcPr>
            <w:tcW w:type="dxa" w:w="6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Two properties (₹3.65 Cr combined), ₹6 Cr investment corpus, no will — legal vulnerability</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The FD Reality Check — Key Talking Point for This Meeting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200"/>
        <w:gridCol w:w="1200"/>
        <w:gridCol w:w="1600"/>
        <w:gridCol w:w="1160"/>
      </w:tblGrid>
      <w:tr>
        <w:tc>
          <w:tcPr>
            <w:tcW w:type="dxa" w:w="16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Instrument</w:t>
            </w:r>
          </w:p>
        </w:tc>
        <w:tc>
          <w:tcPr>
            <w:tcW w:type="dxa" w:w="12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Gross Return</w:t>
            </w:r>
          </w:p>
        </w:tc>
        <w:tc>
          <w:tcPr>
            <w:tcW w:type="dxa" w:w="14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TDS / Tax @30%</w:t>
            </w:r>
          </w:p>
        </w:tc>
        <w:tc>
          <w:tcPr>
            <w:tcW w:type="dxa" w:w="12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Net Return</w:t>
            </w:r>
          </w:p>
        </w:tc>
        <w:tc>
          <w:tcPr>
            <w:tcW w:type="dxa" w:w="12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CPI Inflation</w:t>
            </w:r>
          </w:p>
        </w:tc>
        <w:tc>
          <w:tcPr>
            <w:tcW w:type="dxa" w:w="16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Real Return</w:t>
            </w:r>
          </w:p>
        </w:tc>
        <w:tc>
          <w:tcPr>
            <w:tcW w:type="dxa" w:w="116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Verdict</w:t>
            </w:r>
          </w:p>
        </w:tc>
      </w:tr>
      <w:tr>
        <w:tc>
          <w:tcPr>
            <w:tcW w:type="dxa" w:w="1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ICICI Bank FD (1 yr)</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7.0%</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−2.1%</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4.9%</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w:t>
            </w:r>
          </w:p>
        </w:tc>
        <w:tc>
          <w:tcPr>
            <w:tcW w:type="dxa" w:w="1600"/>
            <w:tcBorders>
              <w:top w:val="single" w:color="C8D0DC" w:sz="4"/>
              <w:left w:val="single" w:color="C8D0DC" w:sz="4"/>
              <w:bottom w:val="single" w:color="C8D0DC" w:sz="4"/>
              <w:right w:val="single" w:color="C8D0DC" w:sz="4"/>
            </w:tcBorders>
            <w:shd w:fill="F9DEDE"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8B1A1A"/>
                <w:sz w:val="20"/>
                <w:szCs w:val="20"/>
              </w:rPr>
              <w:t xml:space="preserve">−0.6%</w:t>
            </w:r>
          </w:p>
        </w:tc>
        <w:tc>
          <w:tcPr>
            <w:tcW w:type="dxa" w:w="1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Capital erosion</w:t>
            </w:r>
          </w:p>
        </w:tc>
      </w:tr>
      <w:tr>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Debt MF — Corp Bond</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8.5%</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−2.55% (slab)</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5.95%</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A6B5A"/>
                <w:sz w:val="20"/>
                <w:szCs w:val="20"/>
              </w:rPr>
              <w:t xml:space="preserve">+0.45%</w:t>
            </w:r>
          </w:p>
        </w:tc>
        <w:tc>
          <w:tcPr>
            <w:tcW w:type="dxa" w:w="1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Marginal real gain</w:t>
            </w:r>
          </w:p>
        </w:tc>
      </w:tr>
      <w:tr>
        <w:tc>
          <w:tcPr>
            <w:tcW w:type="dxa" w:w="1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G-Sec Direct</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7.2%</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−2.16%</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5.04%</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w:t>
            </w:r>
          </w:p>
        </w:tc>
        <w:tc>
          <w:tcPr>
            <w:tcW w:type="dxa" w:w="1600"/>
            <w:tcBorders>
              <w:top w:val="single" w:color="C8D0DC" w:sz="4"/>
              <w:left w:val="single" w:color="C8D0DC" w:sz="4"/>
              <w:bottom w:val="single" w:color="C8D0DC" w:sz="4"/>
              <w:right w:val="single" w:color="C8D0DC" w:sz="4"/>
            </w:tcBorders>
            <w:shd w:fill="F9DEDE"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8B1A1A"/>
                <w:sz w:val="20"/>
                <w:szCs w:val="20"/>
              </w:rPr>
              <w:t xml:space="preserve">−0.46%</w:t>
            </w:r>
          </w:p>
        </w:tc>
        <w:tc>
          <w:tcPr>
            <w:tcW w:type="dxa" w:w="1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Capital erosion</w:t>
            </w:r>
          </w:p>
        </w:tc>
      </w:tr>
      <w:tr>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REIT (Embassy)</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9.0%</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Dividend at slab</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6.3%+</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A6B5A"/>
                <w:sz w:val="20"/>
                <w:szCs w:val="20"/>
              </w:rPr>
              <w:t xml:space="preserve">+0.8%+ appreciation</w:t>
            </w:r>
          </w:p>
        </w:tc>
        <w:tc>
          <w:tcPr>
            <w:tcW w:type="dxa" w:w="1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Positive real return</w:t>
            </w:r>
          </w:p>
        </w:tc>
      </w:tr>
      <w:tr>
        <w:tc>
          <w:tcPr>
            <w:tcW w:type="dxa" w:w="16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Large Cap Equity MF</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13.0%</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(LTCG harvest)</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11.5%</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w:t>
            </w:r>
          </w:p>
        </w:tc>
        <w:tc>
          <w:tcPr>
            <w:tcW w:type="dxa" w:w="1600"/>
            <w:tcBorders>
              <w:top w:val="single" w:color="C8D0DC" w:sz="4"/>
              <w:left w:val="single" w:color="C8D0DC" w:sz="4"/>
              <w:bottom w:val="single" w:color="C8D0DC" w:sz="4"/>
              <w:right w:val="single" w:color="C8D0DC" w:sz="4"/>
            </w:tcBorders>
            <w:shd w:fill="D4EDD9"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A6B2E"/>
                <w:sz w:val="20"/>
                <w:szCs w:val="20"/>
              </w:rPr>
              <w:t xml:space="preserve">+6.0%</w:t>
            </w:r>
          </w:p>
        </w:tc>
        <w:tc>
          <w:tcPr>
            <w:tcW w:type="dxa" w:w="1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Strong real return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center"/>
          </w:tcPr>
          <w:p>
            <w:pPr>
              <w:spacing w:after="100" w:before="100"/>
              <w:jc w:val="center"/>
            </w:pPr>
            <w:r>
              <w:rPr>
                <w:rFonts w:ascii="Arial" w:cs="Arial" w:eastAsia="Arial" w:hAnsi="Arial"/>
                <w:b/>
                <w:bCs/>
                <w:i w:val="false"/>
                <w:iCs w:val="false"/>
                <w:color w:val="FFFFFF"/>
                <w:sz w:val="28"/>
                <w:szCs w:val="28"/>
              </w:rPr>
              <w:t xml:space="preserve">!</w:t>
            </w:r>
          </w:p>
        </w:tc>
        <w:tc>
          <w:tcPr>
            <w:tcW w:type="dxa" w:w="8960"/>
            <w:tcBorders>
              <w:top w:val="single" w:color="1A6B5A" w:sz="6"/>
              <w:left w:val="single" w:color="1A6B5A" w:sz="6"/>
              <w:bottom w:val="single" w:color="1A6B5A" w:sz="6"/>
              <w:right w:val="single" w:color="1A6B5A" w:sz="6"/>
            </w:tcBorders>
            <w:shd w:fill="D4EDE8" w:val="clear"/>
            <w:tcMar>
              <w:top w:type="dxa" w:w="100"/>
              <w:left w:type="dxa" w:w="160"/>
              <w:bottom w:type="dxa" w:w="100"/>
              <w:right w:type="dxa" w:w="160"/>
            </w:tcMar>
            <w:vAlign w:val="top"/>
          </w:tcPr>
          <w:p>
            <w:pPr>
              <w:spacing w:after="100" w:before="100"/>
              <w:jc w:val="left"/>
            </w:pPr>
            <w:r>
              <w:rPr>
                <w:rFonts w:ascii="Arial" w:cs="Arial" w:eastAsia="Arial" w:hAnsi="Arial"/>
                <w:b w:val="false"/>
                <w:bCs w:val="false"/>
                <w:i/>
                <w:iCs/>
                <w:color w:val="111111"/>
                <w:sz w:val="21"/>
                <w:szCs w:val="21"/>
              </w:rPr>
              <w:t xml:space="preserve">Present this table to Suresh as 'The Silent Erosion Report.' His ₹1.1 Cr in FDs is technically growing — but in real terms, it is losing purchasing power every year. The goal is not to make him aggressive. The goal is to make his conservative corpus work harder within his comfort zone.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Recommendations for This Meeting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1800"/>
        <w:gridCol w:w="3760"/>
      </w:tblGrid>
      <w:tr>
        <w:tc>
          <w:tcPr>
            <w:tcW w:type="dxa" w:w="4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w:t>
            </w:r>
          </w:p>
        </w:tc>
        <w:tc>
          <w:tcPr>
            <w:tcW w:type="dxa" w:w="20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Recommendation</w:t>
            </w:r>
          </w:p>
        </w:tc>
        <w:tc>
          <w:tcPr>
            <w:tcW w:type="dxa" w:w="14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Amount</w:t>
            </w:r>
          </w:p>
        </w:tc>
        <w:tc>
          <w:tcPr>
            <w:tcW w:type="dxa" w:w="1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Product</w:t>
            </w:r>
          </w:p>
        </w:tc>
        <w:tc>
          <w:tcPr>
            <w:tcW w:type="dxa" w:w="376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Rationale</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Migrate ₹55 L from FDs to Debt MF over 12 months</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₹55 L (50% of FDs)</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Short Duration + Corp Bond MF</w:t>
            </w:r>
          </w:p>
        </w:tc>
        <w:tc>
          <w:tcPr>
            <w:tcW w:type="dxa" w:w="3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Better post-tax yield than FD. Systematic transfer to avoid timing risk.</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Evaluate LIC endowment policies — paid-up recommendation</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₹18 L surrender value</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Redirect to G-Sec / Debt MF</w:t>
            </w:r>
          </w:p>
        </w:tc>
        <w:tc>
          <w:tcPr>
            <w:tcW w:type="dxa" w:w="3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4–5% LIC return vs 8.5% Corporate Bond MF. Paid-up option preserves life cover while stopping future premium drain.</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Increase large cap equity MF allocation</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₹30 L additional (STP over 12 months)</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Bluechip Fund</w:t>
            </w:r>
          </w:p>
        </w:tc>
        <w:tc>
          <w:tcPr>
            <w:tcW w:type="dxa" w:w="3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From 5% to 15% equity. Even Conservative profile needs inflation-beating asset. Nifty 50 TRI CAGR: 13%+ over 15 years.</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Set up SWP plan from Debt MF (to activate 2033)</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₹1.8 L/month from Year 8</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Short Duration Fund</w:t>
            </w:r>
          </w:p>
        </w:tc>
        <w:tc>
          <w:tcPr>
            <w:tcW w:type="dxa" w:w="3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Structure SWP now so it activates automatically at retirement. Client preference: automated, hassle-free.</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20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Medical insurance — personal cover ₹25 L</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Premium ~₹35K p.a.</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Lombard / Star Health</w:t>
            </w:r>
          </w:p>
        </w:tc>
        <w:tc>
          <w:tcPr>
            <w:tcW w:type="dxa" w:w="37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BHEL cover ends at retirement. Must have personal cover in place before leaving PSU — cannot apply post-retirement with pre-existing conditions.</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w:t>
            </w:r>
          </w:p>
        </w:tc>
        <w:tc>
          <w:tcPr>
            <w:tcW w:type="dxa" w:w="20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Initiate will and estate planning referral</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Consultation</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Empanelled estate lawyer</w:t>
            </w:r>
          </w:p>
        </w:tc>
        <w:tc>
          <w:tcPr>
            <w:tcW w:type="dxa" w:w="37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₹10.5 Cr net worth with two properties — no will is a serious legal and family risk.</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A6B5A"/>
          <w:sz w:val="24"/>
          <w:szCs w:val="24"/>
        </w:rPr>
        <w:t xml:space="preserve">Meeting Agenda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c>
          <w:tcPr>
            <w:tcW w:type="dxa" w:w="12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Time</w:t>
            </w:r>
          </w:p>
        </w:tc>
        <w:tc>
          <w:tcPr>
            <w:tcW w:type="dxa" w:w="28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Agenda Item</w:t>
            </w:r>
          </w:p>
        </w:tc>
        <w:tc>
          <w:tcPr>
            <w:tcW w:type="dxa" w:w="120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Duration</w:t>
            </w:r>
          </w:p>
        </w:tc>
        <w:tc>
          <w:tcPr>
            <w:tcW w:type="dxa" w:w="4160"/>
            <w:tcBorders>
              <w:top w:val="single" w:color="1A6B5A" w:sz="6"/>
              <w:left w:val="single" w:color="1A6B5A" w:sz="6"/>
              <w:bottom w:val="single" w:color="1A6B5A" w:sz="6"/>
              <w:right w:val="single" w:color="1A6B5A" w:sz="6"/>
            </w:tcBorders>
            <w:shd w:fill="1A6B5A"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Outcome Expected</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0:00 – 0:15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IPS sign-off — walk through goals, allocation, SWP plan</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IPS signed. Client understands retirement income structure.</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0:15 – 0:35</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The FD Reality Check — present silent erosion table</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agrees to begin FD to Debt MF migration</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0:35 – 0:55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LIC endowment review — paid-up option presentation</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agrees to switch 2 of 3 policies to paid-up</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0:55 – 1:10</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Equity allocation increase — Nifty 50 long-term data presentation</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approves STP into Large Cap MF</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1:10 – 1:20</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Estate planning — introduce urgency of will with property context</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agrees to lawyer referral</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1:20 – 1:30</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Medical insurance gap + next steps</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Insurance application initiated. All action items confirmed.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8"/>
              <w:left w:val="single" w:color="1A6B5A" w:sz="8"/>
              <w:bottom w:val="single" w:color="1A6B5A" w:sz="8"/>
              <w:right w:val="single" w:color="1A6B5A" w:sz="8"/>
            </w:tcBorders>
            <w:shd w:fill="1A6B5A"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FFFFFF"/>
                <w:sz w:val="20"/>
                <w:szCs w:val="20"/>
              </w:rPr>
              <w:t xml:space="preserve">RM ALERTS — Communication Strategy for Suresh Rajan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6B5A" w:sz="4"/>
              <w:left w:val="single" w:color="1A6B5A" w:sz="4"/>
              <w:bottom w:val="single" w:color="1A6B5A" w:sz="4"/>
              <w:right w:val="single" w:color="1A6B5A" w:sz="4"/>
            </w:tcBorders>
            <w:shd w:fill="1A6B5A"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1</w:t>
            </w:r>
          </w:p>
        </w:tc>
        <w:tc>
          <w:tcPr>
            <w:tcW w:type="dxa" w:w="8960"/>
            <w:tcBorders>
              <w:top w:val="single" w:color="C8D0DC" w:sz="4"/>
              <w:left w:val="single" w:color="C8D0DC" w:sz="4"/>
              <w:bottom w:val="single" w:color="C8D0DC" w:sz="4"/>
              <w:right w:val="single" w:color="C8D0DC" w:sz="4"/>
            </w:tcBorders>
            <w:shd w:fill="D4EDE8"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NEVER use the word 'risk' with Suresh — use 'optimisation' or 'protecting purchasing power.' Risk is emotionally charged for this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6B5A" w:sz="4"/>
              <w:left w:val="single" w:color="1A6B5A" w:sz="4"/>
              <w:bottom w:val="single" w:color="1A6B5A" w:sz="4"/>
              <w:right w:val="single" w:color="1A6B5A" w:sz="4"/>
            </w:tcBorders>
            <w:shd w:fill="1A6B5A"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2</w:t>
            </w:r>
          </w:p>
        </w:tc>
        <w:tc>
          <w:tcPr>
            <w:tcW w:type="dxa" w:w="8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Do NOT present equity as growth. Present it as 'the inflation-protection tranche.' Reframe the purpose of equity allocation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6B5A" w:sz="4"/>
              <w:left w:val="single" w:color="1A6B5A" w:sz="4"/>
              <w:bottom w:val="single" w:color="1A6B5A" w:sz="4"/>
              <w:right w:val="single" w:color="1A6B5A" w:sz="4"/>
            </w:tcBorders>
            <w:shd w:fill="1A6B5A"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3</w:t>
            </w:r>
          </w:p>
        </w:tc>
        <w:tc>
          <w:tcPr>
            <w:tcW w:type="dxa" w:w="8960"/>
            <w:tcBorders>
              <w:top w:val="single" w:color="C8D0DC" w:sz="4"/>
              <w:left w:val="single" w:color="C8D0DC" w:sz="4"/>
              <w:bottom w:val="single" w:color="C8D0DC" w:sz="4"/>
              <w:right w:val="single" w:color="C8D0DC" w:sz="4"/>
            </w:tcBorders>
            <w:shd w:fill="D4EDE8"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If he objects to FD migration: propose migrating just ₹10 L first. Let him experience the returns difference over 6 months before migrating more. Small wins build trust.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6B5A" w:sz="4"/>
              <w:left w:val="single" w:color="1A6B5A" w:sz="4"/>
              <w:bottom w:val="single" w:color="1A6B5A" w:sz="4"/>
              <w:right w:val="single" w:color="1A6B5A" w:sz="4"/>
            </w:tcBorders>
            <w:shd w:fill="1A6B5A"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4</w:t>
            </w:r>
          </w:p>
        </w:tc>
        <w:tc>
          <w:tcPr>
            <w:tcW w:type="dxa" w:w="8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Estate planning is sensitive — do not mention it in the context of death. Frame as 'ensuring your family is never stuck in legal procedures.'</w:t>
            </w:r>
          </w:p>
        </w:tc>
      </w:tr>
    </w:tbl>
    <w:p>
      <w:pPr>
        <w:spacing w:after="80" w:before="80"/>
        <w:jc w:val="left"/>
      </w:pPr>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center"/>
          </w:tcPr>
          <w:p>
            <w:pPr>
              <w:spacing w:after="20" w:before="60"/>
              <w:jc w:val="left"/>
            </w:pPr>
            <w:r>
              <w:rPr>
                <w:rFonts w:ascii="Arial" w:cs="Arial" w:eastAsia="Arial" w:hAnsi="Arial"/>
                <w:b/>
                <w:bCs/>
                <w:i w:val="false"/>
                <w:iCs w:val="false"/>
                <w:color w:val="FFFFFF"/>
                <w:sz w:val="26"/>
                <w:szCs w:val="26"/>
              </w:rPr>
              <w:t xml:space="preserve">ADVISORY MEMO — PRIYA KAPOOR</w:t>
            </w:r>
          </w:p>
          <w:p>
            <w:pPr>
              <w:spacing w:after="60" w:before="0"/>
              <w:jc w:val="left"/>
            </w:pPr>
            <w:r>
              <w:rPr>
                <w:rFonts w:ascii="Arial" w:cs="Arial" w:eastAsia="Arial" w:hAnsi="Arial"/>
                <w:b w:val="false"/>
                <w:bCs w:val="false"/>
                <w:i/>
                <w:iCs/>
                <w:color w:val="FFF3DC"/>
                <w:sz w:val="20"/>
                <w:szCs w:val="20"/>
              </w:rPr>
              <w:t xml:space="preserve">Moderate  |  AUM: ₹4 Cr  |  June 2025</w:t>
            </w:r>
          </w:p>
        </w:tc>
        <w:tc>
          <w:tcPr>
            <w:tcW w:type="dxa" w:w="236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center"/>
          </w:tcPr>
          <w:p>
            <w:pPr>
              <w:spacing w:after="10" w:before="40"/>
              <w:jc w:val="center"/>
            </w:pPr>
            <w:r>
              <w:rPr>
                <w:rFonts w:ascii="Arial" w:cs="Arial" w:eastAsia="Arial" w:hAnsi="Arial"/>
                <w:b/>
                <w:bCs/>
                <w:i w:val="false"/>
                <w:iCs w:val="false"/>
                <w:color w:val="FFFFFF"/>
                <w:sz w:val="18"/>
                <w:szCs w:val="18"/>
              </w:rPr>
              <w:t xml:space="preserve">RISK SCORE</w:t>
            </w:r>
          </w:p>
          <w:p>
            <w:pPr>
              <w:spacing w:after="10" w:before="0"/>
              <w:jc w:val="center"/>
            </w:pPr>
            <w:r>
              <w:rPr>
                <w:rFonts w:ascii="Arial" w:cs="Arial" w:eastAsia="Arial" w:hAnsi="Arial"/>
                <w:b/>
                <w:bCs/>
                <w:i w:val="false"/>
                <w:iCs w:val="false"/>
                <w:color w:val="FFF3DC"/>
                <w:sz w:val="36"/>
                <w:szCs w:val="36"/>
              </w:rPr>
              <w:t xml:space="preserve">54/100</w:t>
            </w:r>
          </w:p>
          <w:p>
            <w:pPr>
              <w:spacing w:after="40" w:before="0"/>
              <w:jc w:val="center"/>
            </w:pPr>
            <w:r>
              <w:rPr>
                <w:rFonts w:ascii="Arial" w:cs="Arial" w:eastAsia="Arial" w:hAnsi="Arial"/>
                <w:b w:val="false"/>
                <w:bCs w:val="false"/>
                <w:i/>
                <w:iCs/>
                <w:color w:val="FFF3DC"/>
                <w:sz w:val="16"/>
                <w:szCs w:val="16"/>
              </w:rPr>
              <w:t xml:space="preserve">Moderate  |  AUM: ₹4 Cr  |  June 2025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Meeting Date</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Urgent — within 2 weeks  |  Education goal requires immediate action  |  Duration: 75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Meeting Location</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ICICI Wealth Centre, Nariman Point, Mumbai  /  Video call (client's preference for efficiency)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RM</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Relationship Manager, ICICI Wealth — Mumbai HNI Desk  |  NRI specialist co-invited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60" w:before="60"/>
              <w:jc w:val="left"/>
            </w:pPr>
            <w:r>
              <w:rPr>
                <w:rFonts w:ascii="Arial" w:cs="Arial" w:eastAsia="Arial" w:hAnsi="Arial"/>
                <w:b/>
                <w:bCs/>
                <w:i w:val="false"/>
                <w:iCs w:val="false"/>
                <w:color w:val="1B3A6B"/>
                <w:sz w:val="20"/>
                <w:szCs w:val="20"/>
              </w:rPr>
              <w:t xml:space="preserve">CRITICAL FLAG</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i w:val="false"/>
                <w:iCs w:val="false"/>
                <w:color w:val="111111"/>
                <w:sz w:val="20"/>
                <w:szCs w:val="20"/>
              </w:rPr>
              <w:t xml:space="preserve">This meeting is URGENT. Daughter's university application is 18–24 months away. ₹1.2 Cr education corpus is NOT yet ring-fenced. Every month of delay increases funding risk.</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Client Snapshot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Current India Portfolio</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₹28L Equity MF  |  ₹18L Direct equity  |  ₹12L REIT  |  ₹8L Intl Fund  |  ₹6L SGB  |  ₹32L FD  |  ₹44L NRE FD</w:t>
            </w:r>
          </w:p>
        </w:tc>
      </w:tr>
      <w:tr>
        <w:tc>
          <w:tcPr>
            <w:tcW w:type="dxa" w:w="2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Offshore Assets</w:t>
            </w:r>
          </w:p>
        </w:tc>
        <w:tc>
          <w:tcPr>
            <w:tcW w:type="dxa" w:w="6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₹1.8 Cr equivalent in Singapore DBS (SGD savings + ETFs) — not yet repatriated</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Total Deployable AUM</w:t>
            </w:r>
          </w:p>
        </w:tc>
        <w:tc>
          <w:tcPr>
            <w:tcW w:type="dxa" w:w="6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₹4 Cr (India) + ₹1.8 Cr (Singapore) = ₹5.8 Cr total (₹1.8 Cr to be repatriated over 2 years)</w:t>
            </w:r>
          </w:p>
        </w:tc>
      </w:tr>
      <w:tr>
        <w:tc>
          <w:tcPr>
            <w:tcW w:type="dxa" w:w="2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Key Risk</w:t>
            </w:r>
          </w:p>
        </w:tc>
        <w:tc>
          <w:tcPr>
            <w:tcW w:type="dxa" w:w="69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RNOR status expires FY2024-25. Singapore consulting income will be fully taxable in India from FY2025-26. No tax plan in place.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Education Funding Gap Analysis — Critical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800"/>
        <w:gridCol w:w="2560"/>
      </w:tblGrid>
      <w:tr>
        <w:tc>
          <w:tcPr>
            <w:tcW w:type="dxa" w:w="18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Parameter</w:t>
            </w:r>
          </w:p>
        </w:tc>
        <w:tc>
          <w:tcPr>
            <w:tcW w:type="dxa" w:w="18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Current Status</w:t>
            </w:r>
          </w:p>
        </w:tc>
        <w:tc>
          <w:tcPr>
            <w:tcW w:type="dxa" w:w="14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Required</w:t>
            </w:r>
          </w:p>
        </w:tc>
        <w:tc>
          <w:tcPr>
            <w:tcW w:type="dxa" w:w="18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Gap</w:t>
            </w:r>
          </w:p>
        </w:tc>
        <w:tc>
          <w:tcPr>
            <w:tcW w:type="dxa" w:w="256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Action</w:t>
            </w:r>
          </w:p>
        </w:tc>
      </w:tr>
      <w:tr>
        <w:tc>
          <w:tcPr>
            <w:tcW w:type="dxa" w:w="1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Education corpus target</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Cr</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Cr</w:t>
            </w:r>
          </w:p>
        </w:tc>
        <w:tc>
          <w:tcPr>
            <w:tcW w:type="dxa" w:w="2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Deploy immediately</w:t>
            </w:r>
          </w:p>
        </w:tc>
      </w:tr>
      <w:tr>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Currently ring-fenced</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₹32 L (ICICI FD only)</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Cr</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₹88 L</w:t>
            </w:r>
          </w:p>
        </w:tc>
        <w:tc>
          <w:tcPr>
            <w:tcW w:type="dxa" w:w="2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CRITICAL shortfall</w:t>
            </w:r>
          </w:p>
        </w:tc>
      </w:tr>
      <w:tr>
        <w:tc>
          <w:tcPr>
            <w:tcW w:type="dxa" w:w="1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Time to need</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~24 months</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24 months</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On track only if deployed now</w:t>
            </w:r>
          </w:p>
        </w:tc>
        <w:tc>
          <w:tcPr>
            <w:tcW w:type="dxa" w:w="2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t>
            </w:r>
          </w:p>
        </w:tc>
      </w:tr>
      <w:tr>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Safe deployment</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Liquid MF + Short Duration</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Liquid MF</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 gap in returns</w:t>
            </w:r>
          </w:p>
        </w:tc>
        <w:tc>
          <w:tcPr>
            <w:tcW w:type="dxa" w:w="2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Switch FD to Liquid MF + add ₹88L from NRE FD proceeds</w:t>
            </w:r>
          </w:p>
        </w:tc>
      </w:tr>
      <w:tr>
        <w:tc>
          <w:tcPr>
            <w:tcW w:type="dxa" w:w="1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NRE FD available</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₹44 L (convertible)</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₹44 L</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Partial cover</w:t>
            </w:r>
          </w:p>
        </w:tc>
        <w:tc>
          <w:tcPr>
            <w:tcW w:type="dxa" w:w="2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Convert NRE FD + top up from equity MF redemption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8"/>
              <w:left w:val="single" w:color="8B1A1A" w:sz="8"/>
              <w:bottom w:val="single" w:color="8B1A1A" w:sz="8"/>
              <w:right w:val="single" w:color="8B1A1A" w:sz="8"/>
            </w:tcBorders>
            <w:shd w:fill="8B1A1A" w:val="clear"/>
            <w:tcMar>
              <w:top w:type="dxa" w:w="100"/>
              <w:left w:type="dxa" w:w="160"/>
              <w:bottom w:type="dxa" w:w="100"/>
              <w:right w:type="dxa" w:w="160"/>
            </w:tcMar>
            <w:vAlign w:val="center"/>
          </w:tcPr>
          <w:p>
            <w:pPr>
              <w:spacing w:after="100" w:before="100"/>
              <w:jc w:val="center"/>
            </w:pPr>
            <w:r>
              <w:rPr>
                <w:rFonts w:ascii="Arial" w:cs="Arial" w:eastAsia="Arial" w:hAnsi="Arial"/>
                <w:b/>
                <w:bCs/>
                <w:i w:val="false"/>
                <w:iCs w:val="false"/>
                <w:color w:val="FFFFFF"/>
                <w:sz w:val="28"/>
                <w:szCs w:val="28"/>
              </w:rPr>
              <w:t xml:space="preserve">!</w:t>
            </w:r>
          </w:p>
        </w:tc>
        <w:tc>
          <w:tcPr>
            <w:tcW w:type="dxa" w:w="8960"/>
            <w:tcBorders>
              <w:top w:val="single" w:color="8B1A1A" w:sz="6"/>
              <w:left w:val="single" w:color="8B1A1A" w:sz="6"/>
              <w:bottom w:val="single" w:color="8B1A1A" w:sz="6"/>
              <w:right w:val="single" w:color="8B1A1A" w:sz="6"/>
            </w:tcBorders>
            <w:shd w:fill="F9DEDE" w:val="clear"/>
            <w:tcMar>
              <w:top w:type="dxa" w:w="100"/>
              <w:left w:type="dxa" w:w="160"/>
              <w:bottom w:type="dxa" w:w="100"/>
              <w:right w:type="dxa" w:w="160"/>
            </w:tcMar>
            <w:vAlign w:val="top"/>
          </w:tcPr>
          <w:p>
            <w:pPr>
              <w:spacing w:after="100" w:before="100"/>
              <w:jc w:val="left"/>
            </w:pPr>
            <w:r>
              <w:rPr>
                <w:rFonts w:ascii="Arial" w:cs="Arial" w:eastAsia="Arial" w:hAnsi="Arial"/>
                <w:b w:val="false"/>
                <w:bCs w:val="false"/>
                <w:i/>
                <w:iCs/>
                <w:color w:val="111111"/>
                <w:sz w:val="21"/>
                <w:szCs w:val="21"/>
              </w:rPr>
              <w:t xml:space="preserve">The education goal is NON-NEGOTIABLE and 24 months away. The single highest priority action in this meeting is to ring-fence ₹1.2 Cr in capital-safe instruments (Liquid MF + Short Duration MF) immediately. Everything else — AIF, equity STP, Singapore repatriation — is secondary to this one action.</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Recommendations for This Meeting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300"/>
        <w:gridCol w:w="1800"/>
        <w:gridCol w:w="3660"/>
      </w:tblGrid>
      <w:tr>
        <w:tc>
          <w:tcPr>
            <w:tcW w:type="dxa" w:w="4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w:t>
            </w:r>
          </w:p>
        </w:tc>
        <w:tc>
          <w:tcPr>
            <w:tcW w:type="dxa" w:w="22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Recommendation</w:t>
            </w:r>
          </w:p>
        </w:tc>
        <w:tc>
          <w:tcPr>
            <w:tcW w:type="dxa" w:w="13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Amount</w:t>
            </w:r>
          </w:p>
        </w:tc>
        <w:tc>
          <w:tcPr>
            <w:tcW w:type="dxa" w:w="18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Product</w:t>
            </w:r>
          </w:p>
        </w:tc>
        <w:tc>
          <w:tcPr>
            <w:tcW w:type="dxa" w:w="366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Urgency</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2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Ring-fence education corpus — Bucket 1 activation</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Cr total (₹32L FD switch + ₹44L NRE FD + ₹44L additional)</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Liquid Fund + Short Duration Fund</w:t>
            </w:r>
          </w:p>
        </w:tc>
        <w:tc>
          <w:tcPr>
            <w:tcW w:type="dxa" w:w="36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IMMEDIATE — before meeting ends</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Purchase ₹2 Cr term insurance — single parent</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Annual premium ~₹22K</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iProtect Smart</w:t>
            </w:r>
          </w:p>
        </w:tc>
        <w:tc>
          <w:tcPr>
            <w:tcW w:type="dxa" w:w="36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URGENT — within 30 days</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2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NRI tax transition — CA engagement</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Advisory fee</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Empanelled CA (NRI specialist)</w:t>
            </w:r>
          </w:p>
        </w:tc>
        <w:tc>
          <w:tcPr>
            <w:tcW w:type="dxa" w:w="36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URGENT — FY2025-26 advance tax due</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LRS repatriation plan — Year 1 tranche</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$250K (₹2.1 Cr approx)</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Forex + ICICI Pru equity MF via STP</w:t>
            </w:r>
          </w:p>
        </w:tc>
        <w:tc>
          <w:tcPr>
            <w:tcW w:type="dxa" w:w="36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Within 60 days — initiate DBS Singapore transfer</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2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Begin Bucket 3 equity STP</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₹1.6 Cr over 9 months</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Flexicap + Bluechip via STP</w:t>
            </w:r>
          </w:p>
        </w:tc>
        <w:tc>
          <w:tcPr>
            <w:tcW w:type="dxa" w:w="36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60–90 days (after Bucket 1 fully funded)</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w:t>
            </w:r>
          </w:p>
        </w:tc>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AIF Cat II — Year 2 tranche (post SG repatriation)</w:t>
            </w:r>
          </w:p>
        </w:tc>
        <w:tc>
          <w:tcPr>
            <w:tcW w:type="dxa" w:w="13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₹28 L (7% of ₹4 Cr)</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Kotak / DSP AIF Cat II</w:t>
            </w:r>
          </w:p>
        </w:tc>
        <w:tc>
          <w:tcPr>
            <w:tcW w:type="dxa" w:w="36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2026 deployment — after SG Year 1 repatriation</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7</w:t>
            </w:r>
          </w:p>
        </w:tc>
        <w:tc>
          <w:tcPr>
            <w:tcW w:type="dxa" w:w="2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Direct equity exit — systematic over 3 months</w:t>
            </w:r>
          </w:p>
        </w:tc>
        <w:tc>
          <w:tcPr>
            <w:tcW w:type="dxa" w:w="13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₹18 L</w:t>
            </w:r>
          </w:p>
        </w:tc>
        <w:tc>
          <w:tcPr>
            <w:tcW w:type="dxa" w:w="1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Direct — liquidate to savings account</w:t>
            </w:r>
          </w:p>
        </w:tc>
        <w:tc>
          <w:tcPr>
            <w:tcW w:type="dxa" w:w="36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Proceeds fund home bucket + equity MF switch</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NRI Tax Transition — Advisory Note for 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Current Tax Status</w:t>
            </w:r>
          </w:p>
        </w:tc>
        <w:tc>
          <w:tcPr>
            <w:tcW w:type="dxa" w:w="6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RNOR (Resident but Not Ordinarily Resident) — FY2024-25 is final year. Foreign income excluded from Indian taxability in RNOR years.</w:t>
            </w:r>
          </w:p>
        </w:tc>
      </w:tr>
      <w:tr>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From FY2025-26</w:t>
            </w:r>
          </w:p>
        </w:tc>
        <w:tc>
          <w:tcPr>
            <w:tcW w:type="dxa" w:w="6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Full Resident. ALL global income (Singapore consulting fees in USD, DBS interest, offshore ETF gains) become taxable in India.</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Immediate Action</w:t>
            </w:r>
          </w:p>
        </w:tc>
        <w:tc>
          <w:tcPr>
            <w:tcW w:type="dxa" w:w="6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Calculate advance tax for FY2025-26 on projected global income of ₹72 L. First advance tax instalment due June 15, 2025 (15% of annual tax). RM must urgently connect client to NRI CA.</w:t>
            </w:r>
          </w:p>
        </w:tc>
      </w:tr>
      <w:tr>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DTAA Benefit</w:t>
            </w:r>
          </w:p>
        </w:tc>
        <w:tc>
          <w:tcPr>
            <w:tcW w:type="dxa" w:w="6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India-Singapore DTAA exists. Professional fees earned for services rendered may be sheltered depending on PE (Permanent Establishment) analysis. CA must review client's consulting contract structure.</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LRS Compliance</w:t>
            </w:r>
          </w:p>
        </w:tc>
        <w:tc>
          <w:tcPr>
            <w:tcW w:type="dxa" w:w="65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All repatriation must be under LRS ($250K/year limit per individual). Each transfer requires Form A2, purpose code, and CA certificate. RM to co-ordinate with ICICI NRI desk.</w:t>
            </w:r>
          </w:p>
        </w:tc>
      </w:tr>
      <w:tr>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B3A6B"/>
                <w:sz w:val="20"/>
                <w:szCs w:val="20"/>
              </w:rPr>
              <w:t xml:space="preserve">NRE Account</w:t>
            </w:r>
          </w:p>
        </w:tc>
        <w:tc>
          <w:tcPr>
            <w:tcW w:type="dxa" w:w="65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NRE FD interest is tax-free only during NRI/RNOR status. Post-resident status, NRE interest becomes taxable. Close or convert NRE FD upon status change.</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2E5FAC"/>
          <w:sz w:val="24"/>
          <w:szCs w:val="24"/>
        </w:rPr>
        <w:t xml:space="preserve">Meeting Agenda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c>
          <w:tcPr>
            <w:tcW w:type="dxa" w:w="12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Time</w:t>
            </w:r>
          </w:p>
        </w:tc>
        <w:tc>
          <w:tcPr>
            <w:tcW w:type="dxa" w:w="28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Agenda Item</w:t>
            </w:r>
          </w:p>
        </w:tc>
        <w:tc>
          <w:tcPr>
            <w:tcW w:type="dxa" w:w="120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Duration</w:t>
            </w:r>
          </w:p>
        </w:tc>
        <w:tc>
          <w:tcPr>
            <w:tcW w:type="dxa" w:w="4160"/>
            <w:tcBorders>
              <w:top w:val="single" w:color="2E5FAC" w:sz="6"/>
              <w:left w:val="single" w:color="2E5FAC" w:sz="6"/>
              <w:bottom w:val="single" w:color="2E5FAC" w:sz="6"/>
              <w:right w:val="single" w:color="2E5FAC" w:sz="6"/>
            </w:tcBorders>
            <w:shd w:fill="2E5FAC"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Outcome Expected</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0:00 – 0:05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IPS presentation — multi-bucket framework explanation</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Client understands and approves 3-bucket structure</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0:05 – 0:20</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Education gap analysis — deploy Bucket 1 immediately</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 Cr ring-fencing authorised and initiated</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0:20 – 0:35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NRI tax transition brief — urgency of CA engagement</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CA referral accepted, advance tax meeting booked</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0:35 – 0:50</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LRS repatriation plan — Year 1 tranche initiation</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DBS transfer instructed, ICICI forex desk engaged</w:t>
            </w:r>
          </w:p>
        </w:tc>
      </w:tr>
      <w:tr>
        <w:tc>
          <w:tcPr>
            <w:tcW w:type="dxa" w:w="1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0:50 – 1:05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Bucket 3 equity STP + AIF Year 2 plan</w:t>
            </w:r>
          </w:p>
        </w:tc>
        <w:tc>
          <w:tcPr>
            <w:tcW w:type="dxa" w:w="12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15 min</w:t>
            </w:r>
          </w:p>
        </w:tc>
        <w:tc>
          <w:tcPr>
            <w:tcW w:type="dxa" w:w="4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STP mandate signed, AIF interest confirmed</w:t>
            </w:r>
          </w:p>
        </w:tc>
      </w:tr>
      <w:tr>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1:05 – 1:15</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Term insurance gap + direct equity exit</w:t>
            </w:r>
          </w:p>
        </w:tc>
        <w:tc>
          <w:tcPr>
            <w:tcW w:type="dxa" w:w="1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 min</w:t>
            </w:r>
          </w:p>
        </w:tc>
        <w:tc>
          <w:tcPr>
            <w:tcW w:type="dxa" w:w="4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Insurance application filed, liquidation mandate given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2E5FAC" w:sz="8"/>
              <w:right w:val="single" w:color="2E5FAC" w:sz="8"/>
            </w:tcBorders>
            <w:shd w:fill="2E5FAC"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FFFFFF"/>
                <w:sz w:val="20"/>
                <w:szCs w:val="20"/>
              </w:rPr>
              <w:t xml:space="preserve">RM ALERTS — Managing Analysis Paralysis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5FAC" w:sz="4"/>
              <w:left w:val="single" w:color="2E5FAC" w:sz="4"/>
              <w:bottom w:val="single" w:color="2E5FAC" w:sz="4"/>
              <w:right w:val="single" w:color="2E5FAC" w:sz="4"/>
            </w:tcBorders>
            <w:shd w:fill="2E5FAC"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1</w:t>
            </w:r>
          </w:p>
        </w:tc>
        <w:tc>
          <w:tcPr>
            <w:tcW w:type="dxa" w:w="8960"/>
            <w:tcBorders>
              <w:top w:val="single" w:color="C8D0DC" w:sz="4"/>
              <w:left w:val="single" w:color="C8D0DC" w:sz="4"/>
              <w:bottom w:val="single" w:color="C8D0DC" w:sz="4"/>
              <w:right w:val="single" w:color="C8D0DC" w:sz="4"/>
            </w:tcBorders>
            <w:shd w:fill="FFF3D4"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Priya will want more data before committing to Bucket 1 ring-fencing. Do NOT allow this. Education goal is 24 months away — delay is not an option. Present the education corpus as already decided, and ask only for the transfer mandate.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5FAC" w:sz="4"/>
              <w:left w:val="single" w:color="2E5FAC" w:sz="4"/>
              <w:bottom w:val="single" w:color="2E5FAC" w:sz="4"/>
              <w:right w:val="single" w:color="2E5FAC" w:sz="4"/>
            </w:tcBorders>
            <w:shd w:fill="2E5FAC"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2</w:t>
            </w:r>
          </w:p>
        </w:tc>
        <w:tc>
          <w:tcPr>
            <w:tcW w:type="dxa" w:w="8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She may question whether Liquid MF is 'safe enough' for the education corpus. Have ICICI Pru Liquid Fund factsheet ready — show 0 negative-return months in 10-year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5FAC" w:sz="4"/>
              <w:left w:val="single" w:color="2E5FAC" w:sz="4"/>
              <w:bottom w:val="single" w:color="2E5FAC" w:sz="4"/>
              <w:right w:val="single" w:color="2E5FAC" w:sz="4"/>
            </w:tcBorders>
            <w:shd w:fill="2E5FAC"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3</w:t>
            </w:r>
          </w:p>
        </w:tc>
        <w:tc>
          <w:tcPr>
            <w:tcW w:type="dxa" w:w="8960"/>
            <w:tcBorders>
              <w:top w:val="single" w:color="C8D0DC" w:sz="4"/>
              <w:left w:val="single" w:color="C8D0DC" w:sz="4"/>
              <w:bottom w:val="single" w:color="C8D0DC" w:sz="4"/>
              <w:right w:val="single" w:color="C8D0DC" w:sz="4"/>
            </w:tcBorders>
            <w:shd w:fill="FFF3D4"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Singapore repatriation will trigger detailed tax questions she hasn't resolved. Separate this conversation from today's meeting. Today's agenda is Bucket 1 + tax CA referral only. Do not let offshore planning complexity delay immediate India-side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5FAC" w:sz="4"/>
              <w:left w:val="single" w:color="2E5FAC" w:sz="4"/>
              <w:bottom w:val="single" w:color="2E5FAC" w:sz="4"/>
              <w:right w:val="single" w:color="2E5FAC" w:sz="4"/>
            </w:tcBorders>
            <w:shd w:fill="2E5FAC"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FFFFFF"/>
                <w:sz w:val="20"/>
                <w:szCs w:val="20"/>
              </w:rPr>
              <w:t xml:space="preserve">4</w:t>
            </w:r>
          </w:p>
        </w:tc>
        <w:tc>
          <w:tcPr>
            <w:tcW w:type="dxa" w:w="89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i w:val="false"/>
                <w:iCs w:val="false"/>
                <w:color w:val="111111"/>
                <w:sz w:val="20"/>
                <w:szCs w:val="20"/>
              </w:rPr>
              <w:t xml:space="preserve">If she is reluctant about AIF lock-in: defer AIF entirely to Year 2 and do not raise it in this meeting. The relationship is more important than one product.</w:t>
            </w:r>
          </w:p>
        </w:tc>
      </w:tr>
    </w:tbl>
    <w:p>
      <w:pPr>
        <w:spacing w:after="80" w:before="80"/>
        <w:jc w:val="left"/>
      </w:pPr>
      <w:r>
        <w:br w:type="page"/>
      </w:r>
    </w:p>
    <w:p>
      <w:pPr>
        <w:spacing w:after="0" w:before="200"/>
      </w:pPr>
      <w:r>
        <w:t xml:space="preserve"/>
      </w:r>
    </w:p>
    <w:p>
      <w:pPr>
        <w:pBdr>
          <w:bottom w:val="single" w:color="C8962E" w:sz="8" w:space="3"/>
        </w:pBdr>
        <w:spacing w:after="0" w:before="0"/>
      </w:pPr>
      <w:r>
        <w:rPr>
          <w:rFonts w:ascii="Arial" w:cs="Arial" w:eastAsia="Arial" w:hAnsi="Arial"/>
          <w:b w:val="false"/>
          <w:bCs w:val="false"/>
          <w:i w:val="false"/>
          <w:iCs w:val="false"/>
          <w:color w:val="111111"/>
          <w:sz w:val="28"/>
          <w:szCs w:val="28"/>
        </w:rPr>
        <w:t xml:space="preserve">  </w:t>
      </w:r>
      <w:r>
        <w:rPr>
          <w:rFonts w:ascii="Arial" w:cs="Arial" w:eastAsia="Arial" w:hAnsi="Arial"/>
          <w:b/>
          <w:bCs/>
          <w:i w:val="false"/>
          <w:iCs w:val="false"/>
          <w:color w:val="C8962E"/>
          <w:sz w:val="28"/>
          <w:szCs w:val="28"/>
        </w:rPr>
        <w:t xml:space="preserve">PHASE 7</w:t>
      </w:r>
      <w:r>
        <w:rPr>
          <w:rFonts w:ascii="Arial" w:cs="Arial" w:eastAsia="Arial" w:hAnsi="Arial"/>
          <w:b w:val="false"/>
          <w:bCs w:val="false"/>
          <w:i/>
          <w:iCs/>
          <w:color w:val="666666"/>
          <w:sz w:val="20"/>
          <w:szCs w:val="20"/>
        </w:rPr>
        <w:t xml:space="preserve">   Executive Summary &amp; Key Project Insight</w:t>
      </w:r>
    </w:p>
    <w:p>
      <w:pPr>
        <w:spacing w:after="0" w:before="100"/>
      </w:pPr>
      <w:r>
        <w:t xml:space="preserve"/>
      </w:r>
    </w:p>
    <w:p>
      <w:pPr>
        <w:spacing w:after="120" w:before="0"/>
        <w:jc w:val="left"/>
      </w:pPr>
      <w:r>
        <w:rPr>
          <w:rFonts w:ascii="Arial" w:cs="Arial" w:eastAsia="Arial" w:hAnsi="Arial"/>
          <w:b w:val="false"/>
          <w:bCs w:val="false"/>
          <w:i w:val="false"/>
          <w:iCs w:val="false"/>
          <w:color w:val="111111"/>
          <w:sz w:val="21"/>
          <w:szCs w:val="21"/>
        </w:rPr>
        <w:t xml:space="preserve">This section synthesises the complete HNI Portfolio Advisory Project — from risk profiling to asset allocation to advisory memos — into a single executive-level summary. This is the section a Wealth RM presents to their Team Leader, or that a recruiter reads to evaluate the quality of the work.</w:t>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Project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Dimension</w:t>
            </w:r>
          </w:p>
        </w:tc>
        <w:tc>
          <w:tcPr>
            <w:tcW w:type="dxa" w:w="71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Detail</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Project Title</w:t>
            </w:r>
          </w:p>
        </w:tc>
        <w:tc>
          <w:tcPr>
            <w:tcW w:type="dxa" w:w="7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HNI Wealth Persona &amp; Asset Allocation Simulator — A Risk-Profiled Portfolio Advisory Model for the Indian HNI Segment</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Objective</w:t>
            </w:r>
          </w:p>
        </w:tc>
        <w:tc>
          <w:tcPr>
            <w:tcW w:type="dxa" w:w="7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Simulate the end-to-end workflow of an ICICI Wealth Relationship Manager — from client onboarding and risk profiling through to asset allocation, wealth projection, IPS documentation, and pre-meeting advisory memo preparation</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Methodology</w:t>
            </w:r>
          </w:p>
        </w:tc>
        <w:tc>
          <w:tcPr>
            <w:tcW w:type="dxa" w:w="7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 distinct HNI personas constructed with realistic KYC data, financial profiles, and behavioural characteristics  |  12-question risk profiling questionnaire with normalised scoring  |  SEBI-aligned IPS documentation  |  Monte Carlo wealth projection  |  ICICI product universe mapping</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Personas</w:t>
            </w:r>
          </w:p>
        </w:tc>
        <w:tc>
          <w:tcPr>
            <w:tcW w:type="dxa" w:w="7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Arjun Mehta (38, ₹2.5 Cr, Moderately Aggressive)  |  Suresh Rajan (52, ₹6 Cr, Conservative)  |  Priya Kapoor (44, ₹4 Cr, Moderate / NRI returnee)</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Total AUM Simulated</w:t>
            </w:r>
          </w:p>
        </w:tc>
        <w:tc>
          <w:tcPr>
            <w:tcW w:type="dxa" w:w="7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₹12.5 Cr across three personas (average: ₹4.17 Cr per client)</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ICICI Products Used</w:t>
            </w:r>
          </w:p>
        </w:tc>
        <w:tc>
          <w:tcPr>
            <w:tcW w:type="dxa" w:w="7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ICICI Pru Bluechip Fund, ICICI Pru Flexicap, ICICI Pru Corporate Bond Fund, ICICI Pru PMS (Multicap), ICICI Pru Liquid Fund, ICICI Pru US Bluechip FoF, ICICI Pru iProtect Smart, ICICI Direct REIT, ICICI NRE/NRO accounts</w:t>
            </w:r>
          </w:p>
        </w:tc>
      </w:tr>
      <w:tr>
        <w:tc>
          <w:tcPr>
            <w:tcW w:type="dxa" w:w="22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Regulatory Frameworks</w:t>
            </w:r>
          </w:p>
        </w:tc>
        <w:tc>
          <w:tcPr>
            <w:tcW w:type="dxa" w:w="7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SEBI Investment Adviser Regulations 2013  |  PMLA 2002 (KYC / AML)  |  FEMA (NRI repatriation)  |  Finance Act 2024 (LTCG / STCG amendments)  |  RBI LRS guidelines</w:t>
            </w:r>
          </w:p>
        </w:tc>
      </w:tr>
      <w:tr>
        <w:tc>
          <w:tcPr>
            <w:tcW w:type="dxa" w:w="22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Deliverables Produced</w:t>
            </w:r>
          </w:p>
        </w:tc>
        <w:tc>
          <w:tcPr>
            <w:tcW w:type="dxa" w:w="7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 Three fully profiled HNI personas with KYC  (2) 12-question risk questionnaire with scoring formula and classification  (3) Multi-sheet Excel asset allocation model with Sharpe ratios and 10-year projections  (4) Investment Policy Statements for all three clients  (5) Monte Carlo wealth projections  (6) Pre-meeting advisory memos for all three clients  (7) This executive summary with key strategic insight</w:t>
            </w:r>
          </w:p>
        </w:tc>
      </w:tr>
    </w:tbl>
    <w:p>
      <w:pPr>
        <w:spacing w:after="0" w:before="12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Portfolio Metrics Summary — All Three Personas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Metric</w:t>
            </w:r>
          </w:p>
        </w:tc>
        <w:tc>
          <w:tcPr>
            <w:tcW w:type="dxa" w:w="2187"/>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Arjun Mehta</w:t>
            </w:r>
          </w:p>
        </w:tc>
        <w:tc>
          <w:tcPr>
            <w:tcW w:type="dxa" w:w="2187"/>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Suresh Rajan</w:t>
            </w:r>
          </w:p>
        </w:tc>
        <w:tc>
          <w:tcPr>
            <w:tcW w:type="dxa" w:w="2186"/>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Priya Kapoor</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Risk Score</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68/100</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28/100</w:t>
            </w:r>
          </w:p>
        </w:tc>
        <w:tc>
          <w:tcPr>
            <w:tcW w:type="dxa" w:w="2186"/>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54/100</w:t>
            </w:r>
          </w:p>
        </w:tc>
      </w:tr>
      <w:tr>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Risk Category</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Mod. Aggressive</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Conservative</w:t>
            </w:r>
          </w:p>
        </w:tc>
        <w:tc>
          <w:tcPr>
            <w:tcW w:type="dxa" w:w="2186"/>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Moderate</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AUM</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 Cr</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₹6.0 Cr</w:t>
            </w:r>
          </w:p>
        </w:tc>
        <w:tc>
          <w:tcPr>
            <w:tcW w:type="dxa" w:w="2186"/>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₹4.0 Cr</w:t>
            </w:r>
          </w:p>
        </w:tc>
      </w:tr>
      <w:tr>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Portfolio Expected Return</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11.8%</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8.2%</w:t>
            </w:r>
          </w:p>
        </w:tc>
        <w:tc>
          <w:tcPr>
            <w:tcW w:type="dxa" w:w="2186"/>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10.3%</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Portfolio Std Dev</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~14.1%</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~5.8%</w:t>
            </w:r>
          </w:p>
        </w:tc>
        <w:tc>
          <w:tcPr>
            <w:tcW w:type="dxa" w:w="2186"/>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~9.2%</w:t>
            </w:r>
          </w:p>
        </w:tc>
      </w:tr>
      <w:tr>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Sharpe Ratio (est.)</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~0.69</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~0.21</w:t>
            </w:r>
          </w:p>
        </w:tc>
        <w:tc>
          <w:tcPr>
            <w:tcW w:type="dxa" w:w="2186"/>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~0.36</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10-Year Projected Corpus</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₹7.7 Cr</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₹13.1 Cr</w:t>
            </w:r>
          </w:p>
        </w:tc>
        <w:tc>
          <w:tcPr>
            <w:tcW w:type="dxa" w:w="2186"/>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₹10.7 Cr</w:t>
            </w:r>
          </w:p>
        </w:tc>
      </w:tr>
      <w:tr>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Real Value (inflation-adj)</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₹4.5 Cr</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₹7.8 Cr</w:t>
            </w:r>
          </w:p>
        </w:tc>
        <w:tc>
          <w:tcPr>
            <w:tcW w:type="dxa" w:w="2186"/>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₹6.3 Cr</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Equity Allocation</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65%</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18%</w:t>
            </w:r>
          </w:p>
        </w:tc>
        <w:tc>
          <w:tcPr>
            <w:tcW w:type="dxa" w:w="2186"/>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30%</w:t>
            </w:r>
          </w:p>
        </w:tc>
      </w:tr>
      <w:tr>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Alternatives Allocation</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22% (AIF+REIT+Gold+Intl)</w:t>
            </w:r>
          </w:p>
        </w:tc>
        <w:tc>
          <w:tcPr>
            <w:tcW w:type="dxa" w:w="2187"/>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17% (Gold+REIT)</w:t>
            </w:r>
          </w:p>
        </w:tc>
        <w:tc>
          <w:tcPr>
            <w:tcW w:type="dxa" w:w="2186"/>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25% (REIT+AIF+Intl+Gold)</w:t>
            </w:r>
          </w:p>
        </w:tc>
      </w:tr>
      <w:tr>
        <w:tc>
          <w:tcPr>
            <w:tcW w:type="dxa" w:w="28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Largest Advisory Gap</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Zero alternatives; underinsured</w:t>
            </w:r>
          </w:p>
        </w:tc>
        <w:tc>
          <w:tcPr>
            <w:tcW w:type="dxa" w:w="2187"/>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FD over-reliance; no estate plan</w:t>
            </w:r>
          </w:p>
        </w:tc>
        <w:tc>
          <w:tcPr>
            <w:tcW w:type="dxa" w:w="2186"/>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Education bucket unfunded; NRI tax transition</w:t>
            </w:r>
          </w:p>
        </w:tc>
      </w:tr>
    </w:tbl>
    <w:p>
      <w:pPr>
        <w:spacing w:after="0" w:before="12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The Key Project Insight: AIF Under-Allocation in Indian HNI Portfolios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E" w:sz="12"/>
              <w:left w:val="single" w:color="C8962E" w:sz="12"/>
              <w:bottom w:val="single" w:color="C8962E" w:sz="12"/>
              <w:right w:val="single" w:color="C8962E" w:sz="12"/>
            </w:tcBorders>
            <w:shd w:fill="1B3A6B" w:val="clear"/>
            <w:tcMar>
              <w:top w:type="dxa" w:w="100"/>
              <w:left w:type="dxa" w:w="160"/>
              <w:bottom w:type="dxa" w:w="100"/>
              <w:right w:type="dxa" w:w="160"/>
            </w:tcMar>
            <w:vAlign w:val="center"/>
          </w:tcPr>
          <w:p>
            <w:pPr>
              <w:spacing w:after="40" w:before="80"/>
              <w:jc w:val="left"/>
            </w:pPr>
            <w:r>
              <w:rPr>
                <w:rFonts w:ascii="Arial" w:cs="Arial" w:eastAsia="Arial" w:hAnsi="Arial"/>
                <w:b/>
                <w:bCs/>
                <w:i w:val="false"/>
                <w:iCs w:val="false"/>
                <w:color w:val="FFF3DC"/>
                <w:sz w:val="18"/>
                <w:szCs w:val="18"/>
              </w:rPr>
              <w:t xml:space="preserve">THE THESIS</w:t>
            </w:r>
          </w:p>
          <w:p>
            <w:pPr>
              <w:spacing w:after="80" w:before="0"/>
              <w:jc w:val="left"/>
            </w:pPr>
            <w:r>
              <w:rPr>
                <w:rFonts w:ascii="Arial" w:cs="Arial" w:eastAsia="Arial" w:hAnsi="Arial"/>
                <w:b/>
                <w:bCs/>
                <w:i w:val="false"/>
                <w:iCs w:val="false"/>
                <w:color w:val="FFFFFF"/>
                <w:sz w:val="22"/>
                <w:szCs w:val="22"/>
              </w:rPr>
              <w:t xml:space="preserve">Across all three HNI personas — spanning Conservative to Moderately Aggressive risk profiles — Alternative Investments (AIF Category II) represent the single most structurally under-allocated asset class relative to financial capacity. All three clients qualify by net worth (AUM &gt; ₹1 Cr minimum), yet typical Indian HNI portfolios hold near-zero AIF allocation.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E" w:sz="12"/>
              <w:left w:val="single" w:color="C8962E" w:sz="12"/>
              <w:bottom w:val="single" w:color="C8962E" w:sz="12"/>
              <w:right w:val="single" w:color="C8962E" w:sz="12"/>
            </w:tcBorders>
            <w:shd w:fill="FFF3DC" w:val="clear"/>
            <w:tcMar>
              <w:top w:type="dxa" w:w="100"/>
              <w:left w:type="dxa" w:w="160"/>
              <w:bottom w:type="dxa" w:w="100"/>
              <w:right w:type="dxa" w:w="160"/>
            </w:tcMar>
            <w:vAlign w:val="top"/>
          </w:tcPr>
          <w:p>
            <w:pPr>
              <w:spacing w:after="60" w:before="80"/>
              <w:jc w:val="left"/>
            </w:pPr>
            <w:r>
              <w:rPr>
                <w:rFonts w:ascii="Arial" w:cs="Arial" w:eastAsia="Arial" w:hAnsi="Arial"/>
                <w:b w:val="false"/>
                <w:bCs w:val="false"/>
                <w:i w:val="false"/>
                <w:iCs w:val="false"/>
                <w:color w:val="111111"/>
                <w:sz w:val="21"/>
                <w:szCs w:val="21"/>
              </w:rPr>
              <w:t xml:space="preserve">A 7–10% AIF Category II allocation improves the Sharpe Ratio of a Moderately Aggressive HNI portfolio by approximately 0.15–0.20 points — driven by three compounding factors: the illiquidity premium (AIF Cat II earns 18–20% target return vs 13% equity MF CAGR), the low correlation with listed equity (reducing overall portfolio volatility without sacrificing return), and the behavioural benefit of a locked-in instrument that prevents panic-selling during market downturns.</w:t>
            </w:r>
          </w:p>
          <w:p>
            <w:pPr>
              <w:spacing w:after="60" w:before="0"/>
              <w:jc w:val="left"/>
            </w:pPr>
            <w:r>
              <w:rPr>
                <w:rFonts w:ascii="Arial" w:cs="Arial" w:eastAsia="Arial" w:hAnsi="Arial"/>
                <w:b w:val="false"/>
                <w:bCs w:val="false"/>
                <w:i w:val="false"/>
                <w:iCs w:val="false"/>
                <w:color w:val="111111"/>
                <w:sz w:val="21"/>
                <w:szCs w:val="21"/>
              </w:rPr>
              <w:t xml:space="preserve">The primary barrier to AIF adoption among Indian HNIs is not risk capacity — it is liquidity bias and product familiarity. Most HNI clients overweight FDs, liquid MFs, and listed equity because these feel 'accessible.' The 3–5 year AIF lock-in is emotionally uncomfortable even when it is financially optimal. This is precisely the advisory opportunity — an RM who can frame illiquidity as a discipline advantage (preventing premature redemption) and quantify the illiquidity premium convincingly creates significant value for the client.</w:t>
            </w:r>
          </w:p>
          <w:p>
            <w:pPr>
              <w:spacing w:after="80" w:before="0"/>
              <w:jc w:val="left"/>
            </w:pPr>
            <w:r>
              <w:rPr>
                <w:rFonts w:ascii="Arial" w:cs="Arial" w:eastAsia="Arial" w:hAnsi="Arial"/>
                <w:b w:val="false"/>
                <w:bCs w:val="false"/>
                <w:i w:val="false"/>
                <w:iCs w:val="false"/>
                <w:color w:val="111111"/>
                <w:sz w:val="21"/>
                <w:szCs w:val="21"/>
              </w:rPr>
              <w:t xml:space="preserve">In Suresh Rajan's Conservative profile, even a selective 5–7% AIF exposure (via a monthly income-oriented Cat II fund) improves his real portfolio yield by ~60 bps without meaningfully increasing drawdown risk — because AIF Cat II debt strategies have near-zero correlation to equity market volatility.</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Sharpe Ratio Improvement — Recommended vs Naive 60/40 Benchmark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600"/>
        <w:gridCol w:w="2360"/>
      </w:tblGrid>
      <w:tr>
        <w:tc>
          <w:tcPr>
            <w:tcW w:type="dxa" w:w="24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Portfolio</w:t>
            </w:r>
          </w:p>
        </w:tc>
        <w:tc>
          <w:tcPr>
            <w:tcW w:type="dxa" w:w="16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Expected Return</w:t>
            </w:r>
          </w:p>
        </w:tc>
        <w:tc>
          <w:tcPr>
            <w:tcW w:type="dxa" w:w="14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Std Dev</w:t>
            </w:r>
          </w:p>
        </w:tc>
        <w:tc>
          <w:tcPr>
            <w:tcW w:type="dxa" w:w="16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Sharpe Ratio</w:t>
            </w:r>
          </w:p>
        </w:tc>
        <w:tc>
          <w:tcPr>
            <w:tcW w:type="dxa" w:w="23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vs Naive 60/40</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Naive 60/40 Benchmark (no alternatives)</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10.7%</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10.8%</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0.32</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Benchmark</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Arjun Mehta — Mod. Aggressive (with AIF + PMS)</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11.8%</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14.1%</w:t>
            </w:r>
          </w:p>
        </w:tc>
        <w:tc>
          <w:tcPr>
            <w:tcW w:type="dxa" w:w="1600"/>
            <w:tcBorders>
              <w:top w:val="single" w:color="C8D0DC" w:sz="4"/>
              <w:left w:val="single" w:color="C8D0DC" w:sz="4"/>
              <w:bottom w:val="single" w:color="C8D0DC" w:sz="4"/>
              <w:right w:val="single" w:color="C8D0DC" w:sz="4"/>
            </w:tcBorders>
            <w:shd w:fill="FFF3DC"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11111"/>
                <w:sz w:val="20"/>
                <w:szCs w:val="20"/>
              </w:rPr>
              <w:t xml:space="preserve">0.69</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+0.37 vs benchmark</w:t>
            </w:r>
          </w:p>
        </w:tc>
      </w:tr>
      <w:tr>
        <w:tc>
          <w:tcPr>
            <w:tcW w:type="dxa" w:w="2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Suresh Rajan — Conservative (with REIT + SGB)</w:t>
            </w:r>
          </w:p>
        </w:tc>
        <w:tc>
          <w:tcPr>
            <w:tcW w:type="dxa" w:w="16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8.2%</w:t>
            </w:r>
          </w:p>
        </w:tc>
        <w:tc>
          <w:tcPr>
            <w:tcW w:type="dxa" w:w="14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5.8%</w:t>
            </w:r>
          </w:p>
        </w:tc>
        <w:tc>
          <w:tcPr>
            <w:tcW w:type="dxa" w:w="1600"/>
            <w:tcBorders>
              <w:top w:val="single" w:color="C8D0DC" w:sz="4"/>
              <w:left w:val="single" w:color="C8D0DC" w:sz="4"/>
              <w:bottom w:val="single" w:color="C8D0DC" w:sz="4"/>
              <w:right w:val="single" w:color="C8D0DC" w:sz="4"/>
            </w:tcBorders>
            <w:shd w:fill="D4EDE8"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11111"/>
                <w:sz w:val="20"/>
                <w:szCs w:val="20"/>
              </w:rPr>
              <w:t xml:space="preserve">0.21</w:t>
            </w:r>
          </w:p>
        </w:tc>
        <w:tc>
          <w:tcPr>
            <w:tcW w:type="dxa" w:w="2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Lower return, lower risk — appropriate</w:t>
            </w:r>
          </w:p>
        </w:tc>
      </w:tr>
      <w:tr>
        <w:tc>
          <w:tcPr>
            <w:tcW w:type="dxa" w:w="2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Priya Kapoor — Moderate (with AIF + REIT)</w:t>
            </w:r>
          </w:p>
        </w:tc>
        <w:tc>
          <w:tcPr>
            <w:tcW w:type="dxa" w:w="16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10.3%</w:t>
            </w:r>
          </w:p>
        </w:tc>
        <w:tc>
          <w:tcPr>
            <w:tcW w:type="dxa" w:w="1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9.2%</w:t>
            </w:r>
          </w:p>
        </w:tc>
        <w:tc>
          <w:tcPr>
            <w:tcW w:type="dxa" w:w="1600"/>
            <w:tcBorders>
              <w:top w:val="single" w:color="C8D0DC" w:sz="4"/>
              <w:left w:val="single" w:color="C8D0DC" w:sz="4"/>
              <w:bottom w:val="single" w:color="C8D0DC" w:sz="4"/>
              <w:right w:val="single" w:color="C8D0DC" w:sz="4"/>
            </w:tcBorders>
            <w:shd w:fill="FFF3D4" w:val="clear"/>
            <w:tcMar>
              <w:top w:type="dxa" w:w="100"/>
              <w:left w:type="dxa" w:w="160"/>
              <w:bottom w:type="dxa" w:w="100"/>
              <w:right w:type="dxa" w:w="160"/>
            </w:tcMar>
            <w:vAlign w:val="top"/>
          </w:tcPr>
          <w:p>
            <w:pPr>
              <w:spacing w:after="80" w:before="80"/>
              <w:jc w:val="center"/>
            </w:pPr>
            <w:r>
              <w:rPr>
                <w:rFonts w:ascii="Arial" w:cs="Arial" w:eastAsia="Arial" w:hAnsi="Arial"/>
                <w:b/>
                <w:bCs/>
                <w:i w:val="false"/>
                <w:iCs w:val="false"/>
                <w:color w:val="111111"/>
                <w:sz w:val="20"/>
                <w:szCs w:val="20"/>
              </w:rPr>
              <w:t xml:space="preserve">0.36</w:t>
            </w:r>
          </w:p>
        </w:tc>
        <w:tc>
          <w:tcPr>
            <w:tcW w:type="dxa" w:w="23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+0.04 vs benchmark — better risk efficiency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8962E" w:sz="8"/>
              <w:left w:val="single" w:color="C8962E" w:sz="8"/>
              <w:bottom w:val="single" w:color="C8962E" w:sz="8"/>
              <w:right w:val="single" w:color="C8962E" w:sz="8"/>
            </w:tcBorders>
            <w:shd w:fill="C8962E" w:val="clear"/>
            <w:tcMar>
              <w:top w:type="dxa" w:w="100"/>
              <w:left w:type="dxa" w:w="160"/>
              <w:bottom w:type="dxa" w:w="100"/>
              <w:right w:type="dxa" w:w="160"/>
            </w:tcMar>
            <w:vAlign w:val="center"/>
          </w:tcPr>
          <w:p>
            <w:pPr>
              <w:spacing w:after="100" w:before="100"/>
              <w:jc w:val="center"/>
            </w:pPr>
            <w:r>
              <w:rPr>
                <w:rFonts w:ascii="Arial" w:cs="Arial" w:eastAsia="Arial" w:hAnsi="Arial"/>
                <w:b/>
                <w:bCs/>
                <w:i w:val="false"/>
                <w:iCs w:val="false"/>
                <w:color w:val="FFFFFF"/>
                <w:sz w:val="28"/>
                <w:szCs w:val="28"/>
              </w:rPr>
              <w:t xml:space="preserve">!</w:t>
            </w:r>
          </w:p>
        </w:tc>
        <w:tc>
          <w:tcPr>
            <w:tcW w:type="dxa" w:w="8960"/>
            <w:tcBorders>
              <w:top w:val="single" w:color="C8962E" w:sz="6"/>
              <w:left w:val="single" w:color="C8962E" w:sz="6"/>
              <w:bottom w:val="single" w:color="C8962E" w:sz="6"/>
              <w:right w:val="single" w:color="C8962E" w:sz="6"/>
            </w:tcBorders>
            <w:shd w:fill="FFF3DC" w:val="clear"/>
            <w:tcMar>
              <w:top w:type="dxa" w:w="100"/>
              <w:left w:type="dxa" w:w="160"/>
              <w:bottom w:type="dxa" w:w="100"/>
              <w:right w:type="dxa" w:w="160"/>
            </w:tcMar>
            <w:vAlign w:val="top"/>
          </w:tcPr>
          <w:p>
            <w:pPr>
              <w:spacing w:after="100" w:before="100"/>
              <w:jc w:val="left"/>
            </w:pPr>
            <w:r>
              <w:rPr>
                <w:rFonts w:ascii="Arial" w:cs="Arial" w:eastAsia="Arial" w:hAnsi="Arial"/>
                <w:b w:val="false"/>
                <w:bCs w:val="false"/>
                <w:i/>
                <w:iCs/>
                <w:color w:val="111111"/>
                <w:sz w:val="21"/>
                <w:szCs w:val="21"/>
              </w:rPr>
              <w:t xml:space="preserve">The Arjun Mehta recommended portfolio achieves a Sharpe Ratio of ~0.69 vs 0.32 for a naive 60/40 — more than double the risk-adjusted efficiency. This is almost entirely driven by the 25% alternatives allocation (AIF + PMS + REIT + SGB + Intl). The alternatives are not just return-enhancers — they are diversification engines that reduce correlation-weighted portfolio volatility while the individual asset return remains high.</w:t>
            </w:r>
          </w:p>
        </w:tc>
      </w:tr>
    </w:tbl>
    <w:p>
      <w:pPr>
        <w:spacing w:after="0" w:before="8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Key Learnings &amp; RM Takeaways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w:t>
            </w:r>
          </w:p>
        </w:tc>
        <w:tc>
          <w:tcPr>
            <w:tcW w:type="dxa" w:w="28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Insight</w:t>
            </w:r>
          </w:p>
        </w:tc>
        <w:tc>
          <w:tcPr>
            <w:tcW w:type="dxa" w:w="616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vAlign w:val="top"/>
          </w:tcPr>
          <w:p>
            <w:pPr>
              <w:spacing w:after="60" w:before="60"/>
              <w:jc w:val="center"/>
            </w:pPr>
            <w:r>
              <w:rPr>
                <w:rFonts w:ascii="Arial" w:cs="Arial" w:eastAsia="Arial" w:hAnsi="Arial"/>
                <w:b/>
                <w:bCs/>
                <w:i w:val="false"/>
                <w:iCs w:val="false"/>
                <w:color w:val="FFFFFF"/>
                <w:sz w:val="20"/>
                <w:szCs w:val="20"/>
              </w:rPr>
              <w:t xml:space="preserve">Implication for Wealth RM</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1</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Risk profiling is not a form — it is a conversation.</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The questionnaire reveals not just what clients say but what they do. Behavioural flags (overconfidence, loss aversion, analysis paralysis) are more predictive of advisory challenges than the numerical score itself.</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2</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Asset allocation drives 90% of long-term returns — product selection is secondary.</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An Arjun Mehta in a well-structured 65/22/13 (equity/alternatives/debt) portfolio will outperform a poorly allocated portfolio of premium funds. Get the allocation right first.</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3</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The IPS is the most important document in wealth management.</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It pre-empts panic decisions, aligns client and RM on expectations, and provides legal protection. An RM who cannot write an IPS cannot truly manage HNI wealth.</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4</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FDs are the biggest competitor — not other banks.</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The real battle in HNI advisory is convincing clients that their safe, familiar FDs are silently destroying wealth. Every HNI portfolio review starts with the FD reality check.</w:t>
            </w:r>
          </w:p>
        </w:tc>
      </w:tr>
      <w:tr>
        <w:tc>
          <w:tcPr>
            <w:tcW w:type="dxa" w:w="400"/>
            <w:tcBorders>
              <w:top w:val="single" w:color="C8D0DC" w:sz="4"/>
              <w:left w:val="single" w:color="C8D0DC" w:sz="4"/>
              <w:bottom w:val="single" w:color="C8D0DC" w:sz="4"/>
              <w:right w:val="single" w:color="C8D0DC" w:sz="4"/>
            </w:tcBorders>
            <w:shd w:fill="EEF2F7"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5</w:t>
            </w:r>
          </w:p>
        </w:tc>
        <w:tc>
          <w:tcPr>
            <w:tcW w:type="dxa" w:w="280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Near-term goals must be quarantined before long-term growth begins.</w:t>
            </w:r>
          </w:p>
        </w:tc>
        <w:tc>
          <w:tcPr>
            <w:tcW w:type="dxa" w:w="61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Priya Kapoor's situation demonstrates that goal-based bucketing is not optional for complex clients. A single portfolio approach would have kept education funds exposed to equity risk.</w:t>
            </w:r>
          </w:p>
        </w:tc>
      </w:tr>
      <w:tr>
        <w:tc>
          <w:tcPr>
            <w:tcW w:type="dxa" w:w="4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bCs/>
                <w:i w:val="false"/>
                <w:iCs w:val="false"/>
                <w:color w:val="111111"/>
                <w:sz w:val="20"/>
                <w:szCs w:val="20"/>
              </w:rPr>
              <w:t xml:space="preserve">6</w:t>
            </w:r>
          </w:p>
        </w:tc>
        <w:tc>
          <w:tcPr>
            <w:tcW w:type="dxa" w:w="280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The RM's most valuable skill is behavioural coaching, not product knowledge.</w:t>
            </w:r>
          </w:p>
        </w:tc>
        <w:tc>
          <w:tcPr>
            <w:tcW w:type="dxa" w:w="6160"/>
            <w:tcBorders>
              <w:top w:val="single" w:color="C8D0DC" w:sz="4"/>
              <w:left w:val="single" w:color="C8D0DC" w:sz="4"/>
              <w:bottom w:val="single" w:color="C8D0DC" w:sz="4"/>
              <w:right w:val="single" w:color="C8D0D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i w:val="false"/>
                <w:iCs w:val="false"/>
                <w:color w:val="111111"/>
                <w:sz w:val="20"/>
                <w:szCs w:val="20"/>
              </w:rPr>
              <w:t xml:space="preserve">Product knowledge is trainable in weeks. The ability to prevent a Suresh Rajan from panic-selling during a 20% market correction is the skill that retains ₹6 Cr of AUM.</w:t>
            </w:r>
          </w:p>
        </w:tc>
      </w:tr>
    </w:tbl>
    <w:p>
      <w:pPr>
        <w:spacing w:after="0" w:before="120"/>
      </w:pPr>
      <w:r>
        <w:t xml:space="preserve"/>
      </w:r>
    </w:p>
    <w:p>
      <w:pPr>
        <w:spacing w:after="0" w:before="120"/>
      </w:pPr>
      <w:r>
        <w:t xml:space="preserve"/>
      </w:r>
    </w:p>
    <w:p>
      <w:pPr>
        <w:pBdr>
          <w:bottom w:val="single" w:color="C8D0DC" w:sz="4" w:space="2"/>
        </w:pBdr>
        <w:spacing w:after="60" w:before="0"/>
      </w:pPr>
      <w:r>
        <w:rPr>
          <w:rFonts w:ascii="Arial" w:cs="Arial" w:eastAsia="Arial" w:hAnsi="Arial"/>
          <w:b/>
          <w:bCs/>
          <w:i w:val="false"/>
          <w:iCs w:val="false"/>
          <w:color w:val="1B3A6B"/>
          <w:sz w:val="24"/>
          <w:szCs w:val="24"/>
        </w:rPr>
        <w:t xml:space="preserve">Project Statement — Resume-Ready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12"/>
              <w:bottom w:val="single" w:color="1B3A6B" w:sz="12"/>
              <w:right w:val="single" w:color="1B3A6B" w:sz="12"/>
            </w:tcBorders>
            <w:shd w:fill="EEF2F7" w:val="clear"/>
            <w:tcMar>
              <w:top w:type="dxa" w:w="100"/>
              <w:left w:type="dxa" w:w="160"/>
              <w:bottom w:type="dxa" w:w="100"/>
              <w:right w:type="dxa" w:w="160"/>
            </w:tcMar>
            <w:vAlign w:val="top"/>
          </w:tcPr>
          <w:p>
            <w:pPr>
              <w:spacing w:after="60" w:before="80"/>
              <w:jc w:val="left"/>
            </w:pPr>
            <w:r>
              <w:rPr>
                <w:rFonts w:ascii="Arial" w:cs="Arial" w:eastAsia="Arial" w:hAnsi="Arial"/>
                <w:b/>
                <w:bCs/>
                <w:i w:val="false"/>
                <w:iCs w:val="false"/>
                <w:color w:val="1B3A6B"/>
                <w:sz w:val="22"/>
                <w:szCs w:val="22"/>
              </w:rPr>
              <w:t xml:space="preserve">PROJECT — HNI Wealth Persona &amp; Asset Allocation Simulator</w:t>
            </w:r>
          </w:p>
          <w:p>
            <w:pPr>
              <w:spacing w:after="40" w:before="0"/>
              <w:jc w:val="left"/>
            </w:pPr>
            <w:r>
              <w:rPr>
                <w:rFonts w:ascii="Arial" w:cs="Arial" w:eastAsia="Arial" w:hAnsi="Arial"/>
                <w:b w:val="false"/>
                <w:bCs w:val="false"/>
                <w:i w:val="false"/>
                <w:iCs w:val="false"/>
                <w:color w:val="111111"/>
                <w:sz w:val="21"/>
                <w:szCs w:val="21"/>
              </w:rPr>
              <w:t xml:space="preserve">Built a complete end-to-end wealth management advisory simulation for three HNI personas (₹2.5 Cr – ₹6 Cr AUM) spanning Conservative to Moderately Aggressive risk profiles, using ICICI's product universe and aligned to SEBI IA Regulations 2013.</w:t>
            </w:r>
          </w:p>
          <w:p>
            <w:pPr>
              <w:spacing w:after="40" w:before="0"/>
              <w:jc w:val="left"/>
            </w:pPr>
            <w:r>
              <w:rPr>
                <w:rFonts w:ascii="Arial" w:cs="Arial" w:eastAsia="Arial" w:hAnsi="Arial"/>
                <w:b w:val="false"/>
                <w:bCs w:val="false"/>
                <w:i w:val="false"/>
                <w:iCs w:val="false"/>
                <w:color w:val="111111"/>
                <w:sz w:val="21"/>
                <w:szCs w:val="21"/>
              </w:rPr>
              <w:t xml:space="preserve">Developed a 12-question risk profiling questionnaire with normalised scoring methodology and five-band classification; constructed multi-asset allocation models computing Sharpe Ratio, standard deviation, and 10-year Monte Carlo wealth projections across three scenarios per persona.</w:t>
            </w:r>
          </w:p>
          <w:p>
            <w:pPr>
              <w:spacing w:after="80" w:before="0"/>
              <w:jc w:val="left"/>
            </w:pPr>
            <w:r>
              <w:rPr>
                <w:rFonts w:ascii="Arial" w:cs="Arial" w:eastAsia="Arial" w:hAnsi="Arial"/>
                <w:b w:val="false"/>
                <w:bCs w:val="false"/>
                <w:i w:val="false"/>
                <w:iCs w:val="false"/>
                <w:color w:val="111111"/>
                <w:sz w:val="21"/>
                <w:szCs w:val="21"/>
              </w:rPr>
              <w:t xml:space="preserve">Produced full Investment Policy Statements, pre-meeting advisory memos, and an executive synthesis identifying AIF Category II under-allocation as the primary structural gap in Indian HNI portfolios — a 7–10% AIF tilt improving portfolio Sharpe Ratio by ~0.15–0.20 vs a naive 60/40 benchmark.</w:t>
            </w:r>
          </w:p>
        </w:tc>
      </w:tr>
    </w:tbl>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4"/>
              <w:left w:val="single" w:color="C8D0DC" w:sz="4"/>
              <w:bottom w:val="single" w:color="C8D0DC" w:sz="4"/>
              <w:right w:val="single" w:color="C8D0DC" w:sz="4"/>
            </w:tcBorders>
            <w:shd w:fill="F8F9FC" w:val="clear"/>
            <w:tcMar>
              <w:top w:type="dxa" w:w="100"/>
              <w:left w:type="dxa" w:w="160"/>
              <w:bottom w:type="dxa" w:w="100"/>
              <w:right w:type="dxa" w:w="160"/>
            </w:tcMar>
            <w:vAlign w:val="top"/>
          </w:tcPr>
          <w:p>
            <w:pPr>
              <w:spacing w:after="40" w:before="60"/>
              <w:jc w:val="left"/>
            </w:pPr>
            <w:r>
              <w:rPr>
                <w:rFonts w:ascii="Arial" w:cs="Arial" w:eastAsia="Arial" w:hAnsi="Arial"/>
                <w:b/>
                <w:bCs/>
                <w:i w:val="false"/>
                <w:iCs w:val="false"/>
                <w:color w:val="445566"/>
                <w:sz w:val="18"/>
                <w:szCs w:val="18"/>
              </w:rPr>
              <w:t xml:space="preserve">REGULATORY DISCLAIMER</w:t>
            </w:r>
          </w:p>
          <w:p>
            <w:pPr>
              <w:spacing w:after="60" w:before="0"/>
              <w:jc w:val="left"/>
            </w:pPr>
            <w:r>
              <w:rPr>
                <w:rFonts w:ascii="Arial" w:cs="Arial" w:eastAsia="Arial" w:hAnsi="Arial"/>
                <w:b w:val="false"/>
                <w:bCs w:val="false"/>
                <w:i w:val="false"/>
                <w:iCs w:val="false"/>
                <w:color w:val="666666"/>
                <w:sz w:val="18"/>
                <w:szCs w:val="18"/>
              </w:rPr>
              <w:t xml:space="preserve">This document, including all Investment Policy Statements, advisory memos, projections, and recommendations contained herein, has been prepared solely for academic and portfolio demonstration purposes as part of an MBA project. All client personas, KYC details, financial figures, product recommendations, and return assumptions are fictional and constructed for illustrative purposes only. This document does not constitute actual financial advice and must not be construed as such. In a live advisory context, all recommendations must comply with SEBI Investment Adviser Regulations 2013, the institution's internal investment policy, client suitability guidelines, and PMLA 2002 KYC norms. Past performance of mutual funds, PMS, AIFs, and REITs referenced herein does not guarantee future results. Return assumptions are based on historical averages and are subject to market risk.</w:t>
            </w:r>
          </w:p>
        </w:tc>
      </w:tr>
    </w:tbl>
    <w:sectPr>
      <w:footerReference w:type="default" r:id="rId7"/>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C" w:sz="4" w:space="4"/>
      </w:pBdr>
      <w:spacing w:after="0" w:before="80"/>
      <w:jc w:val="center"/>
    </w:pPr>
    <w:r>
      <w:rPr>
        <w:rFonts w:ascii="Arial" w:cs="Arial" w:eastAsia="Arial" w:hAnsi="Arial"/>
        <w:b w:val="false"/>
        <w:bCs w:val="false"/>
        <w:i w:val="false"/>
        <w:iCs w:val="false"/>
        <w:color w:val="666666"/>
        <w:sz w:val="18"/>
        <w:szCs w:val="18"/>
      </w:rPr>
      <w:t xml:space="preserve">ICICI Wealth Advisory  |  HNI Portfolio Advisory Project  |  IPS · Projection · Memos · Insight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b w:val="false"/>
        <w:bCs w:val="false"/>
        <w:i w:val="false"/>
        <w:iCs w:val="false"/>
        <w:color w:val="666666"/>
        <w:sz w:val="18"/>
        <w:szCs w:val="18"/>
      </w:rPr>
      <w:t xml:space="preserve">  |  Confidential — For Advisory Use Only  |  BIM Trichy — June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2026-06-19T06:35:11.750Z</dcterms:created>
  <dcterms:modified xsi:type="dcterms:W3CDTF">2026-06-19T06:35:11.766Z</dcterms:modified>
</cp:coreProperties>
</file>

<file path=docProps/custom.xml><?xml version="1.0" encoding="utf-8"?>
<Properties xmlns="http://schemas.openxmlformats.org/officeDocument/2006/custom-properties" xmlns:vt="http://schemas.openxmlformats.org/officeDocument/2006/docPropsVTypes"/>
</file>