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b/>
          <w:bCs/>
          <w:color w:val="1F3A5F"/>
          <w:sz w:val="56"/>
          <w:szCs w:val="56"/>
        </w:rPr>
        <w:t xml:space="preserve">E-Commerce Conversion Rate Analysis</w:t>
      </w:r>
    </w:p>
    <w:p>
      <w:pPr>
        <w:spacing w:after="120"/>
        <w:jc w:val="center"/>
      </w:pPr>
      <w:r>
        <w:rPr>
          <w:rFonts w:ascii="Calibri" w:cs="Calibri" w:eastAsia="Calibri" w:hAnsi="Calibri"/>
          <w:color w:val="2E5C8A"/>
          <w:sz w:val="28"/>
          <w:szCs w:val="28"/>
        </w:rPr>
        <w:t xml:space="preserve">Data Analytics Internship Project  |  Task 4</w:t>
      </w:r>
    </w:p>
    <w:p>
      <w:pPr>
        <w:spacing w:after="80"/>
        <w:jc w:val="center"/>
      </w:pPr>
      <w:r>
        <w:rPr>
          <w:rFonts w:ascii="Calibri" w:cs="Calibri" w:eastAsia="Calibri" w:hAnsi="Calibri"/>
          <w:sz w:val="24"/>
          <w:szCs w:val="24"/>
        </w:rPr>
        <w:t xml:space="preserve">Prepared by: Subashini S</w:t>
      </w:r>
    </w:p>
    <w:p>
      <w:pPr>
        <w:spacing w:after="80"/>
        <w:jc w:val="center"/>
      </w:pPr>
      <w:r>
        <w:rPr>
          <w:rFonts w:ascii="Calibri" w:cs="Calibri" w:eastAsia="Calibri" w:hAnsi="Calibri"/>
          <w:color w:val="555555"/>
          <w:sz w:val="22"/>
          <w:szCs w:val="22"/>
        </w:rPr>
        <w:t xml:space="preserve">Tools: Python, Pandas, Matplotlib, Seaborn</w:t>
      </w:r>
    </w:p>
    <w:p>
      <w:pPr>
        <w:spacing w:after="80"/>
        <w:jc w:val="center"/>
      </w:pPr>
      <w:r>
        <w:rPr>
          <w:rFonts w:ascii="Calibri" w:cs="Calibri" w:eastAsia="Calibri" w:hAnsi="Calibri"/>
          <w:color w:val="555555"/>
          <w:sz w:val="22"/>
          <w:szCs w:val="22"/>
        </w:rPr>
        <w:t xml:space="preserve">Data period: 2025-01-01 to 2025-12-31</w:t>
      </w:r>
    </w:p>
    <w:p>
      <w:r>
        <w:br w:type="page"/>
      </w:r>
    </w:p>
    <w:p>
      <w:pPr>
        <w:pStyle w:val="Heading1"/>
        <w:spacing w:after="140" w:before="320"/>
      </w:pPr>
      <w:r>
        <w:rPr>
          <w:rFonts w:ascii="Calibri" w:cs="Calibri" w:eastAsia="Calibri" w:hAnsi="Calibri"/>
          <w:b/>
          <w:bCs/>
          <w:color w:val="1F3A5F"/>
          <w:sz w:val="32"/>
          <w:szCs w:val="32"/>
        </w:rPr>
        <w:t xml:space="preserve">1. Introduction</w:t>
      </w:r>
    </w:p>
    <w:p>
      <w:pPr>
        <w:spacing w:after="120" w:line="300"/>
      </w:pPr>
      <w:r>
        <w:rPr>
          <w:rFonts w:ascii="Calibri" w:cs="Calibri" w:eastAsia="Calibri" w:hAnsi="Calibri"/>
          <w:sz w:val="22"/>
          <w:szCs w:val="22"/>
        </w:rPr>
        <w:t xml:space="preserve">Conversion rate is one of the most important health metrics of an online store. It shows how many website visitors finally become paying customers. This project analyses the complete shopping funnel (visitors, product views, add to cart and purchases) to find where customers are lost and which segments perform best.</w:t>
      </w:r>
    </w:p>
    <w:p>
      <w:pPr>
        <w:pStyle w:val="Heading2"/>
        <w:spacing w:after="100" w:before="220"/>
      </w:pPr>
      <w:r>
        <w:rPr>
          <w:rFonts w:ascii="Calibri" w:cs="Calibri" w:eastAsia="Calibri" w:hAnsi="Calibri"/>
          <w:b/>
          <w:bCs/>
          <w:color w:val="2E5C8A"/>
          <w:sz w:val="26"/>
          <w:szCs w:val="26"/>
        </w:rPr>
        <w:t xml:space="preserve">Objectives</w:t>
      </w:r>
    </w:p>
    <w:p>
      <w:pPr>
        <w:pStyle w:val="ListParagraph"/>
        <w:numPr>
          <w:ilvl w:val="0"/>
          <w:numId w:val="2"/>
        </w:numPr>
        <w:spacing w:after="80"/>
      </w:pPr>
      <w:r>
        <w:rPr>
          <w:rFonts w:ascii="Calibri" w:cs="Calibri" w:eastAsia="Calibri" w:hAnsi="Calibri"/>
          <w:sz w:val="22"/>
          <w:szCs w:val="22"/>
        </w:rPr>
        <w:t xml:space="preserve">Build the sales funnel and measure drop-off at every stage.</w:t>
      </w:r>
    </w:p>
    <w:p>
      <w:pPr>
        <w:pStyle w:val="ListParagraph"/>
        <w:numPr>
          <w:ilvl w:val="0"/>
          <w:numId w:val="2"/>
        </w:numPr>
        <w:spacing w:after="80"/>
      </w:pPr>
      <w:r>
        <w:rPr>
          <w:rFonts w:ascii="Calibri" w:cs="Calibri" w:eastAsia="Calibri" w:hAnsi="Calibri"/>
          <w:sz w:val="22"/>
          <w:szCs w:val="22"/>
        </w:rPr>
        <w:t xml:space="preserve">Calculate the overall conversion rate = purchases / visitors x 100.</w:t>
      </w:r>
    </w:p>
    <w:p>
      <w:pPr>
        <w:pStyle w:val="ListParagraph"/>
        <w:numPr>
          <w:ilvl w:val="0"/>
          <w:numId w:val="2"/>
        </w:numPr>
        <w:spacing w:after="80"/>
      </w:pPr>
      <w:r>
        <w:rPr>
          <w:rFonts w:ascii="Calibri" w:cs="Calibri" w:eastAsia="Calibri" w:hAnsi="Calibri"/>
          <w:sz w:val="22"/>
          <w:szCs w:val="22"/>
        </w:rPr>
        <w:t xml:space="preserve">Analyse monthly and weekly conversion trends.</w:t>
      </w:r>
    </w:p>
    <w:p>
      <w:pPr>
        <w:pStyle w:val="ListParagraph"/>
        <w:numPr>
          <w:ilvl w:val="0"/>
          <w:numId w:val="2"/>
        </w:numPr>
        <w:spacing w:after="80"/>
      </w:pPr>
      <w:r>
        <w:rPr>
          <w:rFonts w:ascii="Calibri" w:cs="Calibri" w:eastAsia="Calibri" w:hAnsi="Calibri"/>
          <w:sz w:val="22"/>
          <w:szCs w:val="22"/>
        </w:rPr>
        <w:t xml:space="preserve">Compare conversion across traffic channels, devices and days of the week.</w:t>
      </w:r>
    </w:p>
    <w:p>
      <w:pPr>
        <w:pStyle w:val="ListParagraph"/>
        <w:numPr>
          <w:ilvl w:val="0"/>
          <w:numId w:val="2"/>
        </w:numPr>
        <w:spacing w:after="80"/>
      </w:pPr>
      <w:r>
        <w:rPr>
          <w:rFonts w:ascii="Calibri" w:cs="Calibri" w:eastAsia="Calibri" w:hAnsi="Calibri"/>
          <w:sz w:val="22"/>
          <w:szCs w:val="22"/>
        </w:rPr>
        <w:t xml:space="preserve">Give practical business recommendations.</w:t>
      </w:r>
    </w:p>
    <w:p>
      <w:pPr>
        <w:pStyle w:val="Heading1"/>
        <w:spacing w:after="140" w:before="320"/>
      </w:pPr>
      <w:r>
        <w:rPr>
          <w:rFonts w:ascii="Calibri" w:cs="Calibri" w:eastAsia="Calibri" w:hAnsi="Calibri"/>
          <w:b/>
          <w:bCs/>
          <w:color w:val="1F3A5F"/>
          <w:sz w:val="32"/>
          <w:szCs w:val="32"/>
        </w:rPr>
        <w:t xml:space="preserve">2. Dataset and Methodology</w:t>
      </w:r>
    </w:p>
    <w:p>
      <w:pPr>
        <w:spacing w:after="120" w:line="300"/>
      </w:pPr>
      <w:r>
        <w:rPr>
          <w:rFonts w:ascii="Calibri" w:cs="Calibri" w:eastAsia="Calibri" w:hAnsi="Calibri"/>
          <w:sz w:val="22"/>
          <w:szCs w:val="22"/>
        </w:rPr>
        <w:t xml:space="preserve">The dataset (ecommerce_data.csv) contains 5,475 records. Each record is one day for one traffic channel and one device. Columns: date, channel, device, visitors, product_views, add_to_cart, purchases and revenue. The data is simulated with realistic patterns (festive-season uplift, lower mobile conversion) using generate_data.py, so it can be replaced with a real store export in the same format.</w:t>
      </w:r>
    </w:p>
    <w:p>
      <w:pPr>
        <w:pStyle w:val="Heading2"/>
        <w:spacing w:after="100" w:before="220"/>
      </w:pPr>
      <w:r>
        <w:rPr>
          <w:rFonts w:ascii="Calibri" w:cs="Calibri" w:eastAsia="Calibri" w:hAnsi="Calibri"/>
          <w:b/>
          <w:bCs/>
          <w:color w:val="2E5C8A"/>
          <w:sz w:val="26"/>
          <w:szCs w:val="26"/>
        </w:rPr>
        <w:t xml:space="preserve">Steps followed</w:t>
      </w:r>
    </w:p>
    <w:p>
      <w:pPr>
        <w:pStyle w:val="ListParagraph"/>
        <w:numPr>
          <w:ilvl w:val="0"/>
          <w:numId w:val="2"/>
        </w:numPr>
        <w:spacing w:after="80"/>
      </w:pPr>
      <w:r>
        <w:rPr>
          <w:rFonts w:ascii="Calibri" w:cs="Calibri" w:eastAsia="Calibri" w:hAnsi="Calibri"/>
          <w:sz w:val="22"/>
          <w:szCs w:val="22"/>
        </w:rPr>
        <w:t xml:space="preserve">Data cleaning: removed duplicates and nulls, validated that each funnel stage is not larger than the previous stage.</w:t>
      </w:r>
    </w:p>
    <w:p>
      <w:pPr>
        <w:pStyle w:val="ListParagraph"/>
        <w:numPr>
          <w:ilvl w:val="0"/>
          <w:numId w:val="2"/>
        </w:numPr>
        <w:spacing w:after="80"/>
      </w:pPr>
      <w:r>
        <w:rPr>
          <w:rFonts w:ascii="Calibri" w:cs="Calibri" w:eastAsia="Calibri" w:hAnsi="Calibri"/>
          <w:sz w:val="22"/>
          <w:szCs w:val="22"/>
        </w:rPr>
        <w:t xml:space="preserve">Aggregation: totals by month, week, channel, device and day of week.</w:t>
      </w:r>
    </w:p>
    <w:p>
      <w:pPr>
        <w:pStyle w:val="ListParagraph"/>
        <w:numPr>
          <w:ilvl w:val="0"/>
          <w:numId w:val="2"/>
        </w:numPr>
        <w:spacing w:after="80"/>
      </w:pPr>
      <w:r>
        <w:rPr>
          <w:rFonts w:ascii="Calibri" w:cs="Calibri" w:eastAsia="Calibri" w:hAnsi="Calibri"/>
          <w:sz w:val="22"/>
          <w:szCs w:val="22"/>
        </w:rPr>
        <w:t xml:space="preserve">Metrics: view rate, add-to-cart rate, purchase rate (of carts), overall conversion rate and average order value.</w:t>
      </w:r>
    </w:p>
    <w:p>
      <w:pPr>
        <w:pStyle w:val="ListParagraph"/>
        <w:numPr>
          <w:ilvl w:val="0"/>
          <w:numId w:val="2"/>
        </w:numPr>
        <w:spacing w:after="80"/>
      </w:pPr>
      <w:r>
        <w:rPr>
          <w:rFonts w:ascii="Calibri" w:cs="Calibri" w:eastAsia="Calibri" w:hAnsi="Calibri"/>
          <w:sz w:val="22"/>
          <w:szCs w:val="22"/>
        </w:rPr>
        <w:t xml:space="preserve">Visualisation with Matplotlib and Seaborn.</w:t>
      </w:r>
    </w:p>
    <w:p>
      <w:pPr>
        <w:pStyle w:val="ListParagraph"/>
        <w:numPr>
          <w:ilvl w:val="0"/>
          <w:numId w:val="2"/>
        </w:numPr>
        <w:spacing w:after="80"/>
      </w:pPr>
      <w:r>
        <w:rPr>
          <w:rFonts w:ascii="Calibri" w:cs="Calibri" w:eastAsia="Calibri" w:hAnsi="Calibri"/>
          <w:sz w:val="22"/>
          <w:szCs w:val="22"/>
        </w:rPr>
        <w:t xml:space="preserve">Insight generation directly from the computed numbers.</w:t>
      </w:r>
    </w:p>
    <w:p>
      <w:pPr>
        <w:pStyle w:val="Heading1"/>
        <w:spacing w:after="140" w:before="320"/>
      </w:pPr>
      <w:r>
        <w:rPr>
          <w:rFonts w:ascii="Calibri" w:cs="Calibri" w:eastAsia="Calibri" w:hAnsi="Calibri"/>
          <w:b/>
          <w:bCs/>
          <w:color w:val="1F3A5F"/>
          <w:sz w:val="32"/>
          <w:szCs w:val="32"/>
        </w:rPr>
        <w:t xml:space="preserve">3. Sales Funnel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BBBBBB" w:sz="4"/>
              <w:left w:val="single" w:color="BBBBBB" w:sz="4"/>
              <w:bottom w:val="single" w:color="BBBBBB" w:sz="4"/>
              <w:right w:val="single" w:color="BBBBBB" w:sz="4"/>
            </w:tcBorders>
            <w:shd w:fill="1F3A5F"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Stage</w:t>
            </w:r>
          </w:p>
        </w:tc>
        <w:tc>
          <w:tcPr>
            <w:tcW w:type="dxa" w:w="3080"/>
            <w:tcBorders>
              <w:top w:val="single" w:color="BBBBBB" w:sz="4"/>
              <w:left w:val="single" w:color="BBBBBB" w:sz="4"/>
              <w:bottom w:val="single" w:color="BBBBBB" w:sz="4"/>
              <w:right w:val="single" w:color="BBBBBB" w:sz="4"/>
            </w:tcBorders>
            <w:shd w:fill="1F3A5F"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Count</w:t>
            </w:r>
          </w:p>
        </w:tc>
        <w:tc>
          <w:tcPr>
            <w:tcW w:type="dxa" w:w="3080"/>
            <w:tcBorders>
              <w:top w:val="single" w:color="BBBBBB" w:sz="4"/>
              <w:left w:val="single" w:color="BBBBBB" w:sz="4"/>
              <w:bottom w:val="single" w:color="BBBBBB" w:sz="4"/>
              <w:right w:val="single" w:color="BBBBBB" w:sz="4"/>
            </w:tcBorders>
            <w:shd w:fill="1F3A5F"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Rate</w:t>
            </w:r>
          </w:p>
        </w:tc>
      </w:tr>
      <w:t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Visitors</w:t>
            </w:r>
          </w:p>
        </w:tc>
        <w:tc>
          <w:tcPr>
            <w:tcW w:type="dxa" w:w="308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16,44,057</w:t>
            </w:r>
          </w:p>
        </w:tc>
        <w:tc>
          <w:tcPr>
            <w:tcW w:type="dxa" w:w="308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100%</w:t>
            </w:r>
          </w:p>
        </w:tc>
      </w:tr>
      <w:t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Product Views</w:t>
            </w:r>
          </w:p>
        </w:tc>
        <w:tc>
          <w:tcPr>
            <w:tcW w:type="dxa" w:w="308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9,79,159</w:t>
            </w:r>
          </w:p>
        </w:tc>
        <w:tc>
          <w:tcPr>
            <w:tcW w:type="dxa" w:w="308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59.56% of visitors</w:t>
            </w:r>
          </w:p>
        </w:tc>
      </w:tr>
      <w:t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Add to Cart</w:t>
            </w:r>
          </w:p>
        </w:tc>
        <w:tc>
          <w:tcPr>
            <w:tcW w:type="dxa" w:w="308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1,96,964</w:t>
            </w:r>
          </w:p>
        </w:tc>
        <w:tc>
          <w:tcPr>
            <w:tcW w:type="dxa" w:w="308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20.12% of views</w:t>
            </w:r>
          </w:p>
        </w:tc>
      </w:tr>
      <w:t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Purchases</w:t>
            </w:r>
          </w:p>
        </w:tc>
        <w:tc>
          <w:tcPr>
            <w:tcW w:type="dxa" w:w="308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69,877</w:t>
            </w:r>
          </w:p>
        </w:tc>
        <w:tc>
          <w:tcPr>
            <w:tcW w:type="dxa" w:w="308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35.48% of carts</w:t>
            </w:r>
          </w:p>
        </w:tc>
      </w:tr>
    </w:tbl>
    <w:p>
      <w:pPr>
        <w:spacing w:after="120" w:line="300"/>
      </w:pPr>
      <w:r>
        <w:rPr>
          <w:rFonts w:ascii="Calibri" w:cs="Calibri" w:eastAsia="Calibri" w:hAnsi="Calibri"/>
          <w:sz w:val="22"/>
          <w:szCs w:val="22"/>
        </w:rPr>
        <w:t xml:space="preserve"/>
      </w:r>
    </w:p>
    <w:p>
      <w:pPr>
        <w:spacing w:after="160" w:before="120"/>
        <w:jc w:val="center"/>
      </w:pPr>
      <w:r>
        <w:drawing>
          <wp:inline distT="0" distB="0" distL="0" distR="0">
            <wp:extent cx="5334000" cy="2933700"/>
            <wp:effectExtent t="0" r="0" b="0" l="0"/>
            <wp:docPr id="1" name="Sales_Funnel.png" descr="Sales_Funnel.png" title="Sales_Funn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933700"/>
                    </a:xfrm>
                    <a:prstGeom prst="rect">
                      <a:avLst/>
                    </a:prstGeom>
                  </pic:spPr>
                </pic:pic>
              </a:graphicData>
            </a:graphic>
          </wp:inline>
        </w:drawing>
      </w:r>
    </w:p>
    <w:p>
      <w:pPr>
        <w:spacing w:after="200"/>
        <w:jc w:val="center"/>
      </w:pPr>
      <w:r>
        <w:rPr>
          <w:rFonts w:ascii="Calibri" w:cs="Calibri" w:eastAsia="Calibri" w:hAnsi="Calibri"/>
          <w:i/>
          <w:iCs/>
          <w:color w:val="666666"/>
          <w:sz w:val="20"/>
          <w:szCs w:val="20"/>
        </w:rPr>
        <w:t xml:space="preserve">Figure 1: Sales funnel</w:t>
      </w:r>
    </w:p>
    <w:p>
      <w:pPr>
        <w:spacing w:after="120" w:line="300"/>
      </w:pPr>
      <w:r>
        <w:rPr>
          <w:rFonts w:ascii="Calibri" w:cs="Calibri" w:eastAsia="Calibri" w:hAnsi="Calibri"/>
          <w:sz w:val="22"/>
          <w:szCs w:val="22"/>
        </w:rPr>
        <w:t xml:space="preserve">The overall conversion rate is 4.25%. The largest loss happens at the step "Product View -&gt; Add to Cart", where 79.88% of users do not continue. In addition, 64.52% of carts are abandoned before purchase. Total revenue is Rs. 18,52,48,721 with an average order value of Rs. 2,651.</w:t>
      </w:r>
    </w:p>
    <w:p>
      <w:pPr>
        <w:pStyle w:val="Heading1"/>
        <w:spacing w:after="140" w:before="320"/>
      </w:pPr>
      <w:r>
        <w:rPr>
          <w:rFonts w:ascii="Calibri" w:cs="Calibri" w:eastAsia="Calibri" w:hAnsi="Calibri"/>
          <w:b/>
          <w:bCs/>
          <w:color w:val="1F3A5F"/>
          <w:sz w:val="32"/>
          <w:szCs w:val="32"/>
        </w:rPr>
        <w:t xml:space="preserve">4. Monthly and Weekly Conversion</w:t>
      </w:r>
    </w:p>
    <w:p>
      <w:pPr>
        <w:spacing w:after="160" w:before="120"/>
        <w:jc w:val="center"/>
      </w:pPr>
      <w:r>
        <w:drawing>
          <wp:inline distT="0" distB="0" distL="0" distR="0">
            <wp:extent cx="5143500" cy="3857625"/>
            <wp:effectExtent t="0" r="0" b="0" l="0"/>
            <wp:docPr id="1" name="monthly_conversion.png" descr="monthly_conversion.png" title="monthly_conver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857625"/>
                    </a:xfrm>
                    <a:prstGeom prst="rect">
                      <a:avLst/>
                    </a:prstGeom>
                  </pic:spPr>
                </pic:pic>
              </a:graphicData>
            </a:graphic>
          </wp:inline>
        </w:drawing>
      </w:r>
    </w:p>
    <w:p>
      <w:pPr>
        <w:spacing w:after="200"/>
        <w:jc w:val="center"/>
      </w:pPr>
      <w:r>
        <w:rPr>
          <w:rFonts w:ascii="Calibri" w:cs="Calibri" w:eastAsia="Calibri" w:hAnsi="Calibri"/>
          <w:i/>
          <w:iCs/>
          <w:color w:val="666666"/>
          <w:sz w:val="20"/>
          <w:szCs w:val="20"/>
        </w:rPr>
        <w:t xml:space="preserve">Figure 2: Monthly visitors with conversion rate, and weekly trend</w:t>
      </w:r>
    </w:p>
    <w:p>
      <w:pPr>
        <w:spacing w:after="120" w:line="300"/>
      </w:pPr>
      <w:r>
        <w:rPr>
          <w:rFonts w:ascii="Calibri" w:cs="Calibri" w:eastAsia="Calibri" w:hAnsi="Calibri"/>
          <w:sz w:val="22"/>
          <w:szCs w:val="22"/>
        </w:rPr>
        <w:t xml:space="preserve">Conversion peaks in November (5.21%) and is lowest in February (3.82%). Traffic and conversion both rise from October, which matches the festive shopping season, so campaigns and stock should be planned around it.</w:t>
      </w:r>
    </w:p>
    <w:p>
      <w:pPr>
        <w:pStyle w:val="Heading1"/>
        <w:spacing w:after="140" w:before="320"/>
      </w:pPr>
      <w:r>
        <w:rPr>
          <w:rFonts w:ascii="Calibri" w:cs="Calibri" w:eastAsia="Calibri" w:hAnsi="Calibri"/>
          <w:b/>
          <w:bCs/>
          <w:color w:val="1F3A5F"/>
          <w:sz w:val="32"/>
          <w:szCs w:val="32"/>
        </w:rPr>
        <w:t xml:space="preserve">5. Channel, Device and Day Analysis</w:t>
      </w:r>
    </w:p>
    <w:p>
      <w:pPr>
        <w:spacing w:after="160" w:before="120"/>
        <w:jc w:val="center"/>
      </w:pPr>
      <w:r>
        <w:drawing>
          <wp:inline distT="0" distB="0" distL="0" distR="0">
            <wp:extent cx="5715000" cy="1857375"/>
            <wp:effectExtent t="0" r="0" b="0" l="0"/>
            <wp:docPr id="1" name="conversion_rate.png" descr="conversion_rate.png" title="conversion_r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857375"/>
                    </a:xfrm>
                    <a:prstGeom prst="rect">
                      <a:avLst/>
                    </a:prstGeom>
                  </pic:spPr>
                </pic:pic>
              </a:graphicData>
            </a:graphic>
          </wp:inline>
        </w:drawing>
      </w:r>
    </w:p>
    <w:p>
      <w:pPr>
        <w:spacing w:after="200"/>
        <w:jc w:val="center"/>
      </w:pPr>
      <w:r>
        <w:rPr>
          <w:rFonts w:ascii="Calibri" w:cs="Calibri" w:eastAsia="Calibri" w:hAnsi="Calibri"/>
          <w:i/>
          <w:iCs/>
          <w:color w:val="666666"/>
          <w:sz w:val="20"/>
          <w:szCs w:val="20"/>
        </w:rPr>
        <w:t xml:space="preserve">Figure 3: Conversion rate by channel, device and day of week</w:t>
      </w:r>
    </w:p>
    <w:p>
      <w:pPr>
        <w:pStyle w:val="Heading2"/>
        <w:spacing w:after="100" w:before="220"/>
      </w:pPr>
      <w:r>
        <w:rPr>
          <w:rFonts w:ascii="Calibri" w:cs="Calibri" w:eastAsia="Calibri" w:hAnsi="Calibri"/>
          <w:b/>
          <w:bCs/>
          <w:color w:val="2E5C8A"/>
          <w:sz w:val="26"/>
          <w:szCs w:val="26"/>
        </w:rPr>
        <w:t xml:space="preserve">By traffic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700"/>
        <w:gridCol w:w="1700"/>
        <w:gridCol w:w="1700"/>
        <w:gridCol w:w="1900"/>
      </w:tblGrid>
      <w:tr>
        <w:trPr>
          <w:tblHeader/>
        </w:trPr>
        <w:tc>
          <w:tcPr>
            <w:tcW w:type="dxa" w:w="2360"/>
            <w:tcBorders>
              <w:top w:val="single" w:color="BBBBBB" w:sz="4"/>
              <w:left w:val="single" w:color="BBBBBB" w:sz="4"/>
              <w:bottom w:val="single" w:color="BBBBBB" w:sz="4"/>
              <w:right w:val="single" w:color="BBBBBB" w:sz="4"/>
            </w:tcBorders>
            <w:shd w:fill="1F3A5F"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Channel</w:t>
            </w:r>
          </w:p>
        </w:tc>
        <w:tc>
          <w:tcPr>
            <w:tcW w:type="dxa" w:w="1700"/>
            <w:tcBorders>
              <w:top w:val="single" w:color="BBBBBB" w:sz="4"/>
              <w:left w:val="single" w:color="BBBBBB" w:sz="4"/>
              <w:bottom w:val="single" w:color="BBBBBB" w:sz="4"/>
              <w:right w:val="single" w:color="BBBBBB" w:sz="4"/>
            </w:tcBorders>
            <w:shd w:fill="1F3A5F"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Visitors</w:t>
            </w:r>
          </w:p>
        </w:tc>
        <w:tc>
          <w:tcPr>
            <w:tcW w:type="dxa" w:w="1700"/>
            <w:tcBorders>
              <w:top w:val="single" w:color="BBBBBB" w:sz="4"/>
              <w:left w:val="single" w:color="BBBBBB" w:sz="4"/>
              <w:bottom w:val="single" w:color="BBBBBB" w:sz="4"/>
              <w:right w:val="single" w:color="BBBBBB" w:sz="4"/>
            </w:tcBorders>
            <w:shd w:fill="1F3A5F"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Purchases</w:t>
            </w:r>
          </w:p>
        </w:tc>
        <w:tc>
          <w:tcPr>
            <w:tcW w:type="dxa" w:w="1700"/>
            <w:tcBorders>
              <w:top w:val="single" w:color="BBBBBB" w:sz="4"/>
              <w:left w:val="single" w:color="BBBBBB" w:sz="4"/>
              <w:bottom w:val="single" w:color="BBBBBB" w:sz="4"/>
              <w:right w:val="single" w:color="BBBBBB" w:sz="4"/>
            </w:tcBorders>
            <w:shd w:fill="1F3A5F"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Conversion %</w:t>
            </w:r>
          </w:p>
        </w:tc>
        <w:tc>
          <w:tcPr>
            <w:tcW w:type="dxa" w:w="1900"/>
            <w:tcBorders>
              <w:top w:val="single" w:color="BBBBBB" w:sz="4"/>
              <w:left w:val="single" w:color="BBBBBB" w:sz="4"/>
              <w:bottom w:val="single" w:color="BBBBBB" w:sz="4"/>
              <w:right w:val="single" w:color="BBBBBB" w:sz="4"/>
            </w:tcBorders>
            <w:shd w:fill="1F3A5F"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Revenue (Rs.)</w:t>
            </w:r>
          </w:p>
        </w:tc>
      </w:tr>
      <w:tr>
        <w:tc>
          <w:tcPr>
            <w:tcW w:type="dxa" w:w="2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Email</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1,42,295</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13,106</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9.21</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3,48,24,134</w:t>
            </w:r>
          </w:p>
        </w:tc>
      </w:tr>
      <w:tr>
        <w:tc>
          <w:tcPr>
            <w:tcW w:type="dxa" w:w="2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Direct</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2,43,768</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18,932</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7.77</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4,99,09,590</w:t>
            </w:r>
          </w:p>
        </w:tc>
      </w:tr>
      <w:tr>
        <w:tc>
          <w:tcPr>
            <w:tcW w:type="dxa" w:w="2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Organic Search</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4,86,220</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21,203</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4.36</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5,62,58,946</w:t>
            </w:r>
          </w:p>
        </w:tc>
      </w:tr>
      <w:tr>
        <w:tc>
          <w:tcPr>
            <w:tcW w:type="dxa" w:w="2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Paid Ads</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3,66,372</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9,622</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2.63</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2,54,65,799</w:t>
            </w:r>
          </w:p>
        </w:tc>
      </w:tr>
      <w:tr>
        <w:tc>
          <w:tcPr>
            <w:tcW w:type="dxa" w:w="2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Social Media</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4,05,402</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7,014</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1.73</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1,87,90,252</w:t>
            </w:r>
          </w:p>
        </w:tc>
      </w:tr>
    </w:tbl>
    <w:p>
      <w:pPr>
        <w:spacing w:after="120" w:line="300"/>
      </w:pPr>
      <w:r>
        <w:rPr>
          <w:rFonts w:ascii="Calibri" w:cs="Calibri" w:eastAsia="Calibri" w:hAnsi="Calibri"/>
          <w:sz w:val="22"/>
          <w:szCs w:val="22"/>
        </w:rPr>
        <w:t xml:space="preserve"/>
      </w:r>
    </w:p>
    <w:p>
      <w:pPr>
        <w:pStyle w:val="Heading2"/>
        <w:spacing w:after="100" w:before="220"/>
      </w:pPr>
      <w:r>
        <w:rPr>
          <w:rFonts w:ascii="Calibri" w:cs="Calibri" w:eastAsia="Calibri" w:hAnsi="Calibri"/>
          <w:b/>
          <w:bCs/>
          <w:color w:val="2E5C8A"/>
          <w:sz w:val="26"/>
          <w:szCs w:val="26"/>
        </w:rPr>
        <w:t xml:space="preserve">By device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700"/>
        <w:gridCol w:w="1700"/>
        <w:gridCol w:w="1700"/>
        <w:gridCol w:w="1900"/>
      </w:tblGrid>
      <w:tr>
        <w:trPr>
          <w:tblHeader/>
        </w:trPr>
        <w:tc>
          <w:tcPr>
            <w:tcW w:type="dxa" w:w="2360"/>
            <w:tcBorders>
              <w:top w:val="single" w:color="BBBBBB" w:sz="4"/>
              <w:left w:val="single" w:color="BBBBBB" w:sz="4"/>
              <w:bottom w:val="single" w:color="BBBBBB" w:sz="4"/>
              <w:right w:val="single" w:color="BBBBBB" w:sz="4"/>
            </w:tcBorders>
            <w:shd w:fill="1F3A5F"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Device</w:t>
            </w:r>
          </w:p>
        </w:tc>
        <w:tc>
          <w:tcPr>
            <w:tcW w:type="dxa" w:w="1700"/>
            <w:tcBorders>
              <w:top w:val="single" w:color="BBBBBB" w:sz="4"/>
              <w:left w:val="single" w:color="BBBBBB" w:sz="4"/>
              <w:bottom w:val="single" w:color="BBBBBB" w:sz="4"/>
              <w:right w:val="single" w:color="BBBBBB" w:sz="4"/>
            </w:tcBorders>
            <w:shd w:fill="1F3A5F"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Visitors</w:t>
            </w:r>
          </w:p>
        </w:tc>
        <w:tc>
          <w:tcPr>
            <w:tcW w:type="dxa" w:w="1700"/>
            <w:tcBorders>
              <w:top w:val="single" w:color="BBBBBB" w:sz="4"/>
              <w:left w:val="single" w:color="BBBBBB" w:sz="4"/>
              <w:bottom w:val="single" w:color="BBBBBB" w:sz="4"/>
              <w:right w:val="single" w:color="BBBBBB" w:sz="4"/>
            </w:tcBorders>
            <w:shd w:fill="1F3A5F"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Purchases</w:t>
            </w:r>
          </w:p>
        </w:tc>
        <w:tc>
          <w:tcPr>
            <w:tcW w:type="dxa" w:w="1700"/>
            <w:tcBorders>
              <w:top w:val="single" w:color="BBBBBB" w:sz="4"/>
              <w:left w:val="single" w:color="BBBBBB" w:sz="4"/>
              <w:bottom w:val="single" w:color="BBBBBB" w:sz="4"/>
              <w:right w:val="single" w:color="BBBBBB" w:sz="4"/>
            </w:tcBorders>
            <w:shd w:fill="1F3A5F"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Conversion %</w:t>
            </w:r>
          </w:p>
        </w:tc>
        <w:tc>
          <w:tcPr>
            <w:tcW w:type="dxa" w:w="1900"/>
            <w:tcBorders>
              <w:top w:val="single" w:color="BBBBBB" w:sz="4"/>
              <w:left w:val="single" w:color="BBBBBB" w:sz="4"/>
              <w:bottom w:val="single" w:color="BBBBBB" w:sz="4"/>
              <w:right w:val="single" w:color="BBBBBB" w:sz="4"/>
            </w:tcBorders>
            <w:shd w:fill="1F3A5F"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Avg order (Rs.)</w:t>
            </w:r>
          </w:p>
        </w:tc>
      </w:tr>
      <w:tr>
        <w:tc>
          <w:tcPr>
            <w:tcW w:type="dxa" w:w="2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Desktop</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5,09,811</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25,980</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5.10</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3,088</w:t>
            </w:r>
          </w:p>
        </w:tc>
      </w:tr>
      <w:tr>
        <w:tc>
          <w:tcPr>
            <w:tcW w:type="dxa" w:w="2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Tablet</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1,15,433</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5,190</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4.50</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2,381</w:t>
            </w:r>
          </w:p>
        </w:tc>
      </w:tr>
      <w:tr>
        <w:tc>
          <w:tcPr>
            <w:tcW w:type="dxa" w:w="2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Mobile</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10,18,813</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38,707</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3.80</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2,394</w:t>
            </w:r>
          </w:p>
        </w:tc>
      </w:tr>
    </w:tbl>
    <w:p>
      <w:pPr>
        <w:spacing w:after="120" w:line="300"/>
      </w:pPr>
      <w:r>
        <w:rPr>
          <w:rFonts w:ascii="Calibri" w:cs="Calibri" w:eastAsia="Calibri" w:hAnsi="Calibri"/>
          <w:sz w:val="22"/>
          <w:szCs w:val="22"/>
        </w:rPr>
        <w:t xml:space="preserve"/>
      </w:r>
    </w:p>
    <w:p>
      <w:pPr>
        <w:spacing w:after="120" w:line="300"/>
      </w:pPr>
      <w:r>
        <w:rPr>
          <w:rFonts w:ascii="Calibri" w:cs="Calibri" w:eastAsia="Calibri" w:hAnsi="Calibri"/>
          <w:sz w:val="22"/>
          <w:szCs w:val="22"/>
        </w:rPr>
        <w:t xml:space="preserve">Email converts best (9.21%) while Social Media converts lowest (1.73%). Desktop users convert best and Mobile users convert lowest, although mobile brings 62% of all visitors, so improving the mobile experience has the largest potential impact. Day of week has almost no effect (gap only 0.18 pts between Friday and Tuesday); weekday vs weekend is not a lever.</w:t>
      </w:r>
    </w:p>
    <w:p>
      <w:pPr>
        <w:pStyle w:val="Heading1"/>
        <w:spacing w:after="140" w:before="320"/>
      </w:pPr>
      <w:r>
        <w:rPr>
          <w:rFonts w:ascii="Calibri" w:cs="Calibri" w:eastAsia="Calibri" w:hAnsi="Calibri"/>
          <w:b/>
          <w:bCs/>
          <w:color w:val="1F3A5F"/>
          <w:sz w:val="32"/>
          <w:szCs w:val="32"/>
        </w:rPr>
        <w:t xml:space="preserve">6. Key Insights</w:t>
      </w:r>
    </w:p>
    <w:p>
      <w:pPr>
        <w:pStyle w:val="ListParagraph"/>
        <w:numPr>
          <w:ilvl w:val="0"/>
          <w:numId w:val="2"/>
        </w:numPr>
        <w:spacing w:after="80"/>
      </w:pPr>
      <w:r>
        <w:rPr>
          <w:rFonts w:ascii="Calibri" w:cs="Calibri" w:eastAsia="Calibri" w:hAnsi="Calibri"/>
          <w:sz w:val="22"/>
          <w:szCs w:val="22"/>
        </w:rPr>
        <w:t xml:space="preserve">Overall conversion rate is 4.25%.</w:t>
      </w:r>
    </w:p>
    <w:p>
      <w:pPr>
        <w:pStyle w:val="ListParagraph"/>
        <w:numPr>
          <w:ilvl w:val="0"/>
          <w:numId w:val="2"/>
        </w:numPr>
        <w:spacing w:after="80"/>
      </w:pPr>
      <w:r>
        <w:rPr>
          <w:rFonts w:ascii="Calibri" w:cs="Calibri" w:eastAsia="Calibri" w:hAnsi="Calibri"/>
          <w:sz w:val="22"/>
          <w:szCs w:val="22"/>
        </w:rPr>
        <w:t xml:space="preserve">Biggest funnel leak: Product View -&gt; Add to Cart (79.88% drop).</w:t>
      </w:r>
    </w:p>
    <w:p>
      <w:pPr>
        <w:pStyle w:val="ListParagraph"/>
        <w:numPr>
          <w:ilvl w:val="0"/>
          <w:numId w:val="2"/>
        </w:numPr>
        <w:spacing w:after="80"/>
      </w:pPr>
      <w:r>
        <w:rPr>
          <w:rFonts w:ascii="Calibri" w:cs="Calibri" w:eastAsia="Calibri" w:hAnsi="Calibri"/>
          <w:sz w:val="22"/>
          <w:szCs w:val="22"/>
        </w:rPr>
        <w:t xml:space="preserve">Cart abandonment is 64.52%.</w:t>
      </w:r>
    </w:p>
    <w:p>
      <w:pPr>
        <w:pStyle w:val="ListParagraph"/>
        <w:numPr>
          <w:ilvl w:val="0"/>
          <w:numId w:val="2"/>
        </w:numPr>
        <w:spacing w:after="80"/>
      </w:pPr>
      <w:r>
        <w:rPr>
          <w:rFonts w:ascii="Calibri" w:cs="Calibri" w:eastAsia="Calibri" w:hAnsi="Calibri"/>
          <w:sz w:val="22"/>
          <w:szCs w:val="22"/>
        </w:rPr>
        <w:t xml:space="preserve">Email is the best converting channel; Social Media is the weakest.</w:t>
      </w:r>
    </w:p>
    <w:p>
      <w:pPr>
        <w:pStyle w:val="ListParagraph"/>
        <w:numPr>
          <w:ilvl w:val="0"/>
          <w:numId w:val="2"/>
        </w:numPr>
        <w:spacing w:after="80"/>
      </w:pPr>
      <w:r>
        <w:rPr>
          <w:rFonts w:ascii="Calibri" w:cs="Calibri" w:eastAsia="Calibri" w:hAnsi="Calibri"/>
          <w:sz w:val="22"/>
          <w:szCs w:val="22"/>
        </w:rPr>
        <w:t xml:space="preserve">November is the strongest month; February is the weakest.</w:t>
      </w:r>
    </w:p>
    <w:p>
      <w:pPr>
        <w:pStyle w:val="ListParagraph"/>
        <w:numPr>
          <w:ilvl w:val="0"/>
          <w:numId w:val="2"/>
        </w:numPr>
        <w:spacing w:after="80"/>
      </w:pPr>
      <w:r>
        <w:rPr>
          <w:rFonts w:ascii="Calibri" w:cs="Calibri" w:eastAsia="Calibri" w:hAnsi="Calibri"/>
          <w:sz w:val="22"/>
          <w:szCs w:val="22"/>
        </w:rPr>
        <w:t xml:space="preserve">Mobile has the lowest conversion despite the largest traffic share.</w:t>
      </w:r>
    </w:p>
    <w:p>
      <w:pPr>
        <w:pStyle w:val="Heading1"/>
        <w:spacing w:after="140" w:before="320"/>
      </w:pPr>
      <w:r>
        <w:rPr>
          <w:rFonts w:ascii="Calibri" w:cs="Calibri" w:eastAsia="Calibri" w:hAnsi="Calibri"/>
          <w:b/>
          <w:bCs/>
          <w:color w:val="1F3A5F"/>
          <w:sz w:val="32"/>
          <w:szCs w:val="32"/>
        </w:rPr>
        <w:t xml:space="preserve">7. Business Recommendations</w:t>
      </w:r>
    </w:p>
    <w:p>
      <w:pPr>
        <w:pStyle w:val="ListParagraph"/>
        <w:numPr>
          <w:ilvl w:val="0"/>
          <w:numId w:val="2"/>
        </w:numPr>
        <w:spacing w:after="80"/>
      </w:pPr>
      <w:r>
        <w:rPr>
          <w:rFonts w:ascii="Calibri" w:cs="Calibri" w:eastAsia="Calibri" w:hAnsi="Calibri"/>
          <w:sz w:val="22"/>
          <w:szCs w:val="22"/>
        </w:rPr>
        <w:t xml:space="preserve">Reduce cart abandonment with reminder emails, guest checkout and showing shipping cost early.</w:t>
      </w:r>
    </w:p>
    <w:p>
      <w:pPr>
        <w:pStyle w:val="ListParagraph"/>
        <w:numPr>
          <w:ilvl w:val="0"/>
          <w:numId w:val="2"/>
        </w:numPr>
        <w:spacing w:after="80"/>
      </w:pPr>
      <w:r>
        <w:rPr>
          <w:rFonts w:ascii="Calibri" w:cs="Calibri" w:eastAsia="Calibri" w:hAnsi="Calibri"/>
          <w:sz w:val="22"/>
          <w:szCs w:val="22"/>
        </w:rPr>
        <w:t xml:space="preserve">Improve mobile page speed and simplify the mobile checkout.</w:t>
      </w:r>
    </w:p>
    <w:p>
      <w:pPr>
        <w:pStyle w:val="ListParagraph"/>
        <w:numPr>
          <w:ilvl w:val="0"/>
          <w:numId w:val="2"/>
        </w:numPr>
        <w:spacing w:after="80"/>
      </w:pPr>
      <w:r>
        <w:rPr>
          <w:rFonts w:ascii="Calibri" w:cs="Calibri" w:eastAsia="Calibri" w:hAnsi="Calibri"/>
          <w:sz w:val="22"/>
          <w:szCs w:val="22"/>
        </w:rPr>
        <w:t xml:space="preserve">Move marketing budget toward high-converting channels such as Email; review landing pages and targeting for Social Media.</w:t>
      </w:r>
    </w:p>
    <w:p>
      <w:pPr>
        <w:pStyle w:val="ListParagraph"/>
        <w:numPr>
          <w:ilvl w:val="0"/>
          <w:numId w:val="2"/>
        </w:numPr>
        <w:spacing w:after="80"/>
      </w:pPr>
      <w:r>
        <w:rPr>
          <w:rFonts w:ascii="Calibri" w:cs="Calibri" w:eastAsia="Calibri" w:hAnsi="Calibri"/>
          <w:sz w:val="22"/>
          <w:szCs w:val="22"/>
        </w:rPr>
        <w:t xml:space="preserve">Improve product pages (better images, reviews, clear pricing) to lift the view-to-cart step.</w:t>
      </w:r>
    </w:p>
    <w:p>
      <w:pPr>
        <w:pStyle w:val="ListParagraph"/>
        <w:numPr>
          <w:ilvl w:val="0"/>
          <w:numId w:val="2"/>
        </w:numPr>
        <w:spacing w:after="80"/>
      </w:pPr>
      <w:r>
        <w:rPr>
          <w:rFonts w:ascii="Calibri" w:cs="Calibri" w:eastAsia="Calibri" w:hAnsi="Calibri"/>
          <w:sz w:val="22"/>
          <w:szCs w:val="22"/>
        </w:rPr>
        <w:t xml:space="preserve">Plan festive campaigns and inventory ahead of November and run offers in slow months such as February.</w:t>
      </w:r>
    </w:p>
    <w:p>
      <w:pPr>
        <w:pStyle w:val="ListParagraph"/>
        <w:numPr>
          <w:ilvl w:val="0"/>
          <w:numId w:val="2"/>
        </w:numPr>
        <w:spacing w:after="80"/>
      </w:pPr>
      <w:r>
        <w:rPr>
          <w:rFonts w:ascii="Calibri" w:cs="Calibri" w:eastAsia="Calibri" w:hAnsi="Calibri"/>
          <w:sz w:val="22"/>
          <w:szCs w:val="22"/>
        </w:rPr>
        <w:t xml:space="preserve">Run A/B tests on the weakest funnel step and track the change in conversion rate.</w:t>
      </w:r>
    </w:p>
    <w:p>
      <w:pPr>
        <w:pStyle w:val="Heading1"/>
        <w:spacing w:after="140" w:before="320"/>
      </w:pPr>
      <w:r>
        <w:rPr>
          <w:rFonts w:ascii="Calibri" w:cs="Calibri" w:eastAsia="Calibri" w:hAnsi="Calibri"/>
          <w:b/>
          <w:bCs/>
          <w:color w:val="1F3A5F"/>
          <w:sz w:val="32"/>
          <w:szCs w:val="32"/>
        </w:rPr>
        <w:t xml:space="preserve">8. Conclusion</w:t>
      </w:r>
    </w:p>
    <w:p>
      <w:pPr>
        <w:spacing w:after="120" w:line="300"/>
      </w:pPr>
      <w:r>
        <w:rPr>
          <w:rFonts w:ascii="Calibri" w:cs="Calibri" w:eastAsia="Calibri" w:hAnsi="Calibri"/>
          <w:sz w:val="22"/>
          <w:szCs w:val="22"/>
        </w:rPr>
        <w:t xml:space="preserve">The analysis shows a 4.25% overall conversion rate with clear opportunities in cart abandonment, mobile experience and channel mix. The same code can be applied to a real store's data by replacing ecommerce_data.csv, and the reports and charts will update automatically.</w:t>
      </w:r>
    </w:p>
    <w:p>
      <w:pPr>
        <w:spacing w:after="120" w:line="300"/>
        <w:rPr>
          <w:i/>
          <w:iCs/>
          <w:color w:val="666666"/>
        </w:rPr>
      </w:pPr>
      <w:r>
        <w:rPr>
          <w:rFonts w:ascii="Calibri" w:cs="Calibri" w:eastAsia="Calibri" w:hAnsi="Calibri"/>
          <w:i/>
          <w:iCs/>
          <w:color w:val="666666"/>
          <w:sz w:val="22"/>
          <w:szCs w:val="22"/>
        </w:rPr>
        <w:t xml:space="preserve">Note: the dataset used here is simulated for demonstration, so the specific numbers should not be treated as real business results.</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E-Commerce Conversion Rate Analysis  |  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1b08af805bb32f76c49418f08cc5ee28cb92858.png"/><Relationship Id="rId9" Type="http://schemas.openxmlformats.org/officeDocument/2006/relationships/image" Target="media/525f90af94fb952f8552a0e4255627e326e4b7c4.png"/><Relationship Id="rId10" Type="http://schemas.openxmlformats.org/officeDocument/2006/relationships/image" Target="media/8d21975d91601673165247025cbd366cb261dc8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2026-10-07T09:03:34.917Z</dcterms:created>
  <dcterms:modified xsi:type="dcterms:W3CDTF">2026-10-07T09:03:34.917Z</dcterms:modified>
</cp:coreProperties>
</file>

<file path=docProps/custom.xml><?xml version="1.0" encoding="utf-8"?>
<Properties xmlns="http://schemas.openxmlformats.org/officeDocument/2006/custom-properties" xmlns:vt="http://schemas.openxmlformats.org/officeDocument/2006/docPropsVTypes"/>
</file>