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spacing w:after="200"/>
        <w:jc w:val="center"/>
      </w:pPr>
      <w:r>
        <w:rPr>
          <w:b/>
          <w:bCs/>
          <w:color w:val="2B3A8F"/>
          <w:sz w:val="52"/>
          <w:szCs w:val="52"/>
        </w:rPr>
        <w:t xml:space="preserve">SALES TREND VISUALIZATION</w:t>
      </w:r>
    </w:p>
    <w:p>
      <w:pPr>
        <w:spacing w:after="600"/>
        <w:jc w:val="center"/>
      </w:pPr>
      <w:r>
        <w:rPr>
          <w:color w:val="555555"/>
          <w:sz w:val="28"/>
          <w:szCs w:val="28"/>
        </w:rPr>
        <w:t xml:space="preserve">Data Analytics Internship Project</w:t>
      </w:r>
    </w:p>
    <w:p>
      <w:pPr>
        <w:spacing w:after="100"/>
        <w:jc w:val="center"/>
      </w:pPr>
      <w:r>
        <w:rPr>
          <w:sz w:val="24"/>
          <w:szCs w:val="24"/>
        </w:rPr>
        <w:t xml:space="preserve">Prepared by: Subashini S</w:t>
      </w:r>
    </w:p>
    <w:p>
      <w:pPr>
        <w:spacing w:after="100"/>
        <w:jc w:val="center"/>
      </w:pPr>
      <w:r>
        <w:rPr>
          <w:sz w:val="24"/>
          <w:szCs w:val="24"/>
        </w:rPr>
        <w:t xml:space="preserve">Role: Data Analytics Intern, CodTech IT Solutions</w:t>
      </w:r>
    </w:p>
    <w:p>
      <w:pPr>
        <w:spacing w:after="800"/>
        <w:jc w:val="center"/>
      </w:pPr>
      <w:r>
        <w:rPr>
          <w:sz w:val="24"/>
          <w:szCs w:val="24"/>
        </w:rPr>
        <w:t xml:space="preserve">Date: September 2026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Project Objective</w:t>
      </w:r>
    </w:p>
    <w:p>
      <w:pPr>
        <w:spacing w:after="150"/>
      </w:pPr>
      <w:r>
        <w:t xml:space="preserve">The objective of this project is to analyze two years (2024-2025) of retail sales transaction data and visualize revenue trends across time, product categories, regions, and customer buying patterns. The analysis aims to uncover seasonality, growth trends, and top-performing segments to support data-driven business decisions.</w:t>
      </w:r>
    </w:p>
    <w:p>
      <w:pPr>
        <w:pStyle w:val="Heading2"/>
        <w:spacing w:after="120" w:before="250"/>
      </w:pPr>
      <w:r>
        <w:t xml:space="preserve">Tools &amp; Technologies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Python 3 — data processing and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Pandas &amp; NumPy — data cleaning, aggregation, and feature engineering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Matplotlib — trend, comparison, and distribution visualizations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Microsoft Excel / CSV — raw dataset storage</w:t>
      </w:r>
    </w:p>
    <w:p>
      <w:pPr>
        <w:pStyle w:val="Heading1"/>
        <w:spacing w:after="150" w:before="300"/>
      </w:pPr>
      <w:r>
        <w:t xml:space="preserve">2. Dataset Description</w:t>
      </w:r>
    </w:p>
    <w:p>
      <w:pPr>
        <w:spacing w:after="150"/>
      </w:pPr>
      <w:r>
        <w:t xml:space="preserve">A transaction-level retail sales dataset was used, covering daily orders from 1 January 2024 to 31 December 2025 across 4 regions, 5 product categories, and 20 products.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2B3A8F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6000"/>
            <w:shd w:fill="2B3A8F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r>
              <w:t xml:space="preserve">OrderID</w:t>
            </w:r>
          </w:p>
        </w:tc>
        <w:tc>
          <w:tcPr>
            <w:tcW w:type="dxa" w:w="6000"/>
          </w:tcPr>
          <w:p>
            <w:r>
              <w:t xml:space="preserve">Unique identifier for each transaction</w:t>
            </w:r>
          </w:p>
        </w:tc>
      </w:tr>
      <w:tr>
        <w:tc>
          <w:tcPr>
            <w:tcW w:type="dxa" w:w="3000"/>
          </w:tcPr>
          <w:p>
            <w:r>
              <w:t xml:space="preserve">OrderDate</w:t>
            </w:r>
          </w:p>
        </w:tc>
        <w:tc>
          <w:tcPr>
            <w:tcW w:type="dxa" w:w="6000"/>
          </w:tcPr>
          <w:p>
            <w:r>
              <w:t xml:space="preserve">Date the order was placed</w:t>
            </w:r>
          </w:p>
        </w:tc>
      </w:tr>
      <w:tr>
        <w:tc>
          <w:tcPr>
            <w:tcW w:type="dxa" w:w="3000"/>
          </w:tcPr>
          <w:p>
            <w:r>
              <w:t xml:space="preserve">Region</w:t>
            </w:r>
          </w:p>
        </w:tc>
        <w:tc>
          <w:tcPr>
            <w:tcW w:type="dxa" w:w="6000"/>
          </w:tcPr>
          <w:p>
            <w:r>
              <w:t xml:space="preserve">North / South / East / West</w:t>
            </w:r>
          </w:p>
        </w:tc>
      </w:tr>
      <w:tr>
        <w:tc>
          <w:tcPr>
            <w:tcW w:type="dxa" w:w="3000"/>
          </w:tcPr>
          <w:p>
            <w:r>
              <w:t xml:space="preserve">Category / Product</w:t>
            </w:r>
          </w:p>
        </w:tc>
        <w:tc>
          <w:tcPr>
            <w:tcW w:type="dxa" w:w="6000"/>
          </w:tcPr>
          <w:p>
            <w:r>
              <w:t xml:space="preserve">Product hierarchy (5 categories, 20 products)</w:t>
            </w:r>
          </w:p>
        </w:tc>
      </w:tr>
      <w:tr>
        <w:tc>
          <w:tcPr>
            <w:tcW w:type="dxa" w:w="3000"/>
          </w:tcPr>
          <w:p>
            <w:r>
              <w:t xml:space="preserve">Quantity, UnitPrice, DiscountPct</w:t>
            </w:r>
          </w:p>
        </w:tc>
        <w:tc>
          <w:tcPr>
            <w:tcW w:type="dxa" w:w="6000"/>
          </w:tcPr>
          <w:p>
            <w:r>
              <w:t xml:space="preserve">Order size, price and discount applied</w:t>
            </w:r>
          </w:p>
        </w:tc>
      </w:tr>
      <w:tr>
        <w:tc>
          <w:tcPr>
            <w:tcW w:type="dxa" w:w="3000"/>
          </w:tcPr>
          <w:p>
            <w:r>
              <w:t xml:space="preserve">Revenue</w:t>
            </w:r>
          </w:p>
        </w:tc>
        <w:tc>
          <w:tcPr>
            <w:tcW w:type="dxa" w:w="6000"/>
          </w:tcPr>
          <w:p>
            <w:r>
              <w:t xml:space="preserve">Final sale value after discount (target metric)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Key Performance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Total Orders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Avg Order Value</w:t>
            </w:r>
          </w:p>
        </w:tc>
        <w:tc>
          <w:tcPr>
            <w:tcW w:type="dxa" w:w="2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YoY Growth</w:t>
            </w:r>
          </w:p>
        </w:tc>
      </w:tr>
      <w:tr>
        <w:tc>
          <w:tcPr>
            <w:tcW w:type="dxa" w:w="2500"/>
            <w:shd w:fill="E8EC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₹15.53 Cr</w:t>
            </w:r>
          </w:p>
        </w:tc>
        <w:tc>
          <w:tcPr>
            <w:tcW w:type="dxa" w:w="2500"/>
            <w:shd w:fill="E8EC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27,989</w:t>
            </w:r>
          </w:p>
        </w:tc>
        <w:tc>
          <w:tcPr>
            <w:tcW w:type="dxa" w:w="2500"/>
            <w:shd w:fill="E8EC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₹5,550</w:t>
            </w:r>
          </w:p>
        </w:tc>
        <w:tc>
          <w:tcPr>
            <w:tcW w:type="dxa" w:w="2500"/>
            <w:shd w:fill="E8EC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+11.3%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1"/>
        </w:numPr>
        <w:spacing w:after="80"/>
      </w:pPr>
      <w:r>
        <w:t xml:space="preserve">Total revenue generated across 2024-2025: ₹15,53,46,797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Revenue grew from ₹7.35 Cr (2024) to ₹8.18 Cr (2025) — an 11.3% year-over-year increase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Best-performing month: November 2025 (₹1.21 Cr) driven by the festive season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Weakest month: June 2024 (₹31.9 Lakhs) — the seasonal off-period before summer promotions</w:t>
      </w:r>
    </w:p>
    <w:p>
      <w:pPr>
        <w:pStyle w:val="Heading1"/>
        <w:spacing w:after="150" w:before="300"/>
      </w:pPr>
      <w:r>
        <w:t xml:space="preserve">4. Trend Analysis &amp; Visualizations</w:t>
      </w:r>
    </w:p>
    <w:p>
      <w:pPr>
        <w:pStyle w:val="Heading2"/>
        <w:spacing w:after="120" w:before="250"/>
      </w:pPr>
      <w:r>
        <w:t xml:space="preserve">4.1 Monthly Sales Revenue Trend</w:t>
      </w:r>
    </w:p>
    <w:p>
      <w:pPr>
        <w:spacing w:after="150"/>
      </w:pPr>
      <w:r>
        <w:t xml:space="preserve">The monthly revenue trend below shows two clear festive-season surges (Oct-Dec each year) followed by a post-festive decline, and a steady off-season floor around June-July. The 3-month moving average confirms an overall upward trajectory year over year.</w:t>
      </w:r>
    </w:p>
    <w:p>
      <w:pPr>
        <w:spacing w:after="80"/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1: Monthly revenue with 3-month moving average</w:t>
      </w:r>
    </w:p>
    <w:p>
      <w:pPr>
        <w:pStyle w:val="Heading2"/>
        <w:spacing w:after="120" w:before="250"/>
      </w:pPr>
      <w:r>
        <w:t xml:space="preserve">4.2 Year-over-Year Monthly Comparison</w:t>
      </w:r>
    </w:p>
    <w:p>
      <w:pPr>
        <w:spacing w:after="150"/>
      </w:pPr>
      <w:r>
        <w:t xml:space="preserve">Comparing 2024 and 2025 month-by-month highlights that nearly every month in 2025 outperformed its 2024 counterpart, especially the Oct-Dec festive quarter, indicating strengthening seasonal demand and effective promotions.</w:t>
      </w:r>
    </w:p>
    <w:p>
      <w:pPr>
        <w:spacing w:after="80"/>
        <w:jc w:val="center"/>
      </w:pPr>
      <w:r>
        <w:drawing>
          <wp:inline distT="0" distB="0" distL="0" distR="0">
            <wp:extent cx="5524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2: Year-over-year revenue comparison by month</w:t>
      </w:r>
    </w:p>
    <w:p>
      <w:pPr>
        <w:pStyle w:val="Heading2"/>
        <w:spacing w:after="120" w:before="250"/>
      </w:pPr>
      <w:r>
        <w:t xml:space="preserve">4.3 Revenue by Product Category</w:t>
      </w:r>
    </w:p>
    <w:p>
      <w:pPr>
        <w:spacing w:after="150"/>
      </w:pPr>
      <w:r>
        <w:t xml:space="preserve">Electronics is the dominant revenue driver, contributing over two-thirds of total sales, followed by Home &amp; Kitchen and Clothing. This concentration suggests the business is heavily reliant on high-ticket electronics items.</w:t>
      </w:r>
    </w:p>
    <w:p>
      <w:pPr>
        <w:spacing w:after="80"/>
        <w:jc w:val="center"/>
      </w:pPr>
      <w:r>
        <w:drawing>
          <wp:inline distT="0" distB="0" distL="0" distR="0">
            <wp:extent cx="4762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3: Total revenue by product category</w:t>
      </w:r>
    </w:p>
    <w:p>
      <w:pPr>
        <w:pStyle w:val="Heading2"/>
        <w:spacing w:after="120" w:before="250"/>
      </w:pPr>
      <w:r>
        <w:t xml:space="preserve">4.4 Regional Performance</w:t>
      </w:r>
    </w:p>
    <w:p>
      <w:pPr>
        <w:spacing w:after="150"/>
      </w:pPr>
      <w:r>
        <w:t xml:space="preserve">The North region leads with a 27.8% revenue share, closely followed by West and East, while South trails slightly. The spread is fairly balanced, indicating a nationally diversified customer base rather than dependence on a single region.</w:t>
      </w:r>
    </w:p>
    <w:p>
      <w:pPr>
        <w:spacing w:after="80"/>
        <w:jc w:val="center"/>
      </w:pPr>
      <w:r>
        <w:drawing>
          <wp:inline distT="0" distB="0" distL="0" distR="0">
            <wp:extent cx="4000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4: Revenue share by region</w:t>
      </w:r>
    </w:p>
    <w:p>
      <w:r>
        <w:br w:type="page"/>
      </w:r>
    </w:p>
    <w:p>
      <w:pPr>
        <w:pStyle w:val="Heading2"/>
        <w:spacing w:after="120" w:before="250"/>
      </w:pPr>
      <w:r>
        <w:t xml:space="preserve">4.5 Region × Month Revenue Heatmap</w:t>
      </w:r>
    </w:p>
    <w:p>
      <w:pPr>
        <w:spacing w:after="150"/>
      </w:pPr>
      <w:r>
        <w:t xml:space="preserve">The heatmap makes the festive-season effect visible across every region simultaneously — all four regions darken sharply in Oct-Dec of both years, confirming the seasonality is a nationwide pattern rather than region-specific.</w:t>
      </w:r>
    </w:p>
    <w:p>
      <w:pPr>
        <w:spacing w:after="80"/>
        <w:jc w:val="center"/>
      </w:pPr>
      <w:r>
        <w:drawing>
          <wp:inline distT="0" distB="0" distL="0" distR="0">
            <wp:extent cx="55245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5: Revenue intensity across regions and months</w:t>
      </w:r>
    </w:p>
    <w:p>
      <w:pPr>
        <w:pStyle w:val="Heading2"/>
        <w:spacing w:after="120" w:before="250"/>
      </w:pPr>
      <w:r>
        <w:t xml:space="preserve">4.6 Top 10 Products by Revenue</w:t>
      </w:r>
    </w:p>
    <w:p>
      <w:pPr>
        <w:spacing w:after="150"/>
      </w:pPr>
      <w:r>
        <w:t xml:space="preserve">Laptops alone contributed over ₹70 Lakhs, making them the single highest revenue-generating product, followed by Smartphones and Vacuum Cleaners. High-value electronics dominate the top of the list despite lower order volumes than daily-use items.</w:t>
      </w:r>
    </w:p>
    <w:p>
      <w:pPr>
        <w:spacing w:after="80"/>
        <w:jc w:val="center"/>
      </w:pPr>
      <w:r>
        <w:drawing>
          <wp:inline distT="0" distB="0" distL="0" distR="0">
            <wp:extent cx="5143500" cy="3143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6: Top 10 products by total revenue</w:t>
      </w:r>
    </w:p>
    <w:p>
      <w:pPr>
        <w:pStyle w:val="Heading2"/>
        <w:spacing w:after="120" w:before="250"/>
      </w:pPr>
      <w:r>
        <w:t xml:space="preserve">4.7 Day-of-Week Sales Pattern</w:t>
      </w:r>
    </w:p>
    <w:p>
      <w:pPr>
        <w:spacing w:after="150"/>
      </w:pPr>
      <w:r>
        <w:t xml:space="preserve">Weekend sales (Saturday-Sunday, highlighted in red) consistently outperform weekdays, with Sunday recording the highest revenue overall — a pattern useful for scheduling promotions and staffing.</w:t>
      </w:r>
    </w:p>
    <w:p>
      <w:pPr>
        <w:spacing w:after="8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Figure 7: Revenue by day of week</w:t>
      </w:r>
    </w:p>
    <w:p>
      <w:pPr>
        <w:pStyle w:val="Heading1"/>
        <w:spacing w:after="150" w:before="300"/>
      </w:pPr>
      <w:r>
        <w:t xml:space="preserve">5. Key Insights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Strong, repeatable seasonality: Oct-Dec festive period generates roughly 2x the revenue of an average month, in both years.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Healthy year-over-year growth of 11.3%, showing the business is expanding rather than merely holding steady.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Electronics category and the North region are the two most important levers for revenue — any stock-out or supply issue here has outsized impact.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Weekend-heavy buying behavior suggests promotional campaigns are more effective when timed for Friday-Sunday.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June is consistently the weakest month across both years, making it a strong candidate for a mid-year clearance sale to boost off-season revenue.</w:t>
      </w:r>
    </w:p>
    <w:p>
      <w:pPr>
        <w:pStyle w:val="Heading1"/>
        <w:spacing w:after="150" w:before="300"/>
      </w:pPr>
      <w:r>
        <w:t xml:space="preserve">6.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Increase inventory and marketing spend ahead of October to fully capture the festive demand surge.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Introduce a targeted June promotional campaign to lift the seasonal low.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Double down on Electronics assortment and bundle offers, since it drives the majority of revenue.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Investigate why the South region underperforms relative to others and pilot region-specific offers.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Shift a larger share of the weekly ad budget toward Friday-Sunday to align with observed peak buying days.</w:t>
      </w:r>
    </w:p>
    <w:p>
      <w:pPr>
        <w:pStyle w:val="Heading1"/>
        <w:spacing w:after="150" w:before="300"/>
      </w:pPr>
      <w:r>
        <w:t xml:space="preserve">7. Conclusion</w:t>
      </w:r>
    </w:p>
    <w:p>
      <w:pPr>
        <w:spacing w:after="150"/>
      </w:pPr>
      <w:r>
        <w:t xml:space="preserve">This analysis of two years of retail sales data reveals clear, actionable seasonal and regional patterns. Revenue is growing steadily (+11.3% YoY), driven primarily by Electronics and concentrated around festive-season and weekend buying. These insights can directly inform inventory planning, marketing calendars, and regional strategy for the upcoming year.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a51282ab90b6a8af6f4688b280368f6b746b48b.png"/><Relationship Id="rId8" Type="http://schemas.openxmlformats.org/officeDocument/2006/relationships/image" Target="media/b82360340193782c89341402e12cc2b8f86dc254.png"/><Relationship Id="rId9" Type="http://schemas.openxmlformats.org/officeDocument/2006/relationships/image" Target="media/04b75f9e11574a12e0cdeb8b2ca915b5141be5c7.png"/><Relationship Id="rId10" Type="http://schemas.openxmlformats.org/officeDocument/2006/relationships/image" Target="media/5c1db9eccf4983968bbdd46ecd1ff22c24f684b8.png"/><Relationship Id="rId11" Type="http://schemas.openxmlformats.org/officeDocument/2006/relationships/image" Target="media/bb6323dbb4625bb30585da6f5285d041609c9bc2.png"/><Relationship Id="rId12" Type="http://schemas.openxmlformats.org/officeDocument/2006/relationships/image" Target="media/d9081cf52ec2bd477cff4ac1ae9cf56fe6708e48.png"/><Relationship Id="rId13" Type="http://schemas.openxmlformats.org/officeDocument/2006/relationships/image" Target="media/8649b7138d242b6a1a1a8c90c9c888080f56e775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2026-09-21T14:24:42.620Z</dcterms:created>
  <dcterms:modified xsi:type="dcterms:W3CDTF">2026-09-21T14:24:42.630Z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