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Integrate the Jira with  this existing codebase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Activity: Integrate the AI Agent with Jira by adding a "Connect Jira" feature that allows users to establish a connection using their Jira Base URL, Email ID, and Jira API Token. Once the connection is successfully established, retrieve and populate the available Jira user stories within the application. Ensure the implementation follows the existing project architecture, UI design, and coding standards while maintaining compatibility with the current functionality.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Implement the UI Changes </w:t>
      </w:r>
    </w:p>
    <w:p w:rsidR="00000000" w:rsidDel="00000000" w:rsidP="00000000" w:rsidRDefault="00000000" w:rsidRPr="00000000" w14:paraId="00000007">
      <w:pPr>
        <w:rPr/>
      </w:pPr>
      <w:r w:rsidDel="00000000" w:rsidR="00000000" w:rsidRPr="00000000">
        <w:rPr>
          <w:rtl w:val="0"/>
        </w:rPr>
        <w:t xml:space="preserve">2. Then Implement the Connectivity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Connect Jira button is implemented</w:t>
      </w:r>
    </w:p>
    <w:p w:rsidR="00000000" w:rsidDel="00000000" w:rsidP="00000000" w:rsidRDefault="00000000" w:rsidRPr="00000000" w14:paraId="0000000A">
      <w:pPr>
        <w:rPr/>
      </w:pPr>
      <w:r w:rsidDel="00000000" w:rsidR="00000000" w:rsidRPr="00000000">
        <w:rPr/>
        <w:drawing>
          <wp:inline distB="114300" distT="114300" distL="114300" distR="114300">
            <wp:extent cx="5943600" cy="349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Userstories are fetched and displayed in the dropdown</w:t>
      </w:r>
    </w:p>
    <w:p w:rsidR="00000000" w:rsidDel="00000000" w:rsidP="00000000" w:rsidRDefault="00000000" w:rsidRPr="00000000" w14:paraId="0000000D">
      <w:pPr>
        <w:rPr/>
      </w:pPr>
      <w:r w:rsidDel="00000000" w:rsidR="00000000" w:rsidRPr="00000000">
        <w:rPr/>
        <w:drawing>
          <wp:inline distB="114300" distT="114300" distL="114300" distR="114300">
            <wp:extent cx="5943600" cy="34925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34925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Testcases generated successfully</w:t>
      </w:r>
    </w:p>
    <w:p w:rsidR="00000000" w:rsidDel="00000000" w:rsidP="00000000" w:rsidRDefault="00000000" w:rsidRPr="00000000" w14:paraId="00000010">
      <w:pPr>
        <w:rPr/>
      </w:pPr>
      <w:r w:rsidDel="00000000" w:rsidR="00000000" w:rsidRPr="00000000">
        <w:rPr/>
        <w:drawing>
          <wp:inline distB="114300" distT="114300" distL="114300" distR="114300">
            <wp:extent cx="5943600" cy="3492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