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Vaishna Subbaiah</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Binowski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 Programming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December 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conducted my analysis using Jupyter Notebook, leveraging the Pandas library for data manipulation, NumPy for numerical calculations, and Matplotlib for data visualization. My research focused on four key questions: the nine-year trend of import prices from 2015 to 2024, the specific years that experienced the largest size of annual price changes, the impact of the pandemic on market stability, and identifying the highest point of the price index. Through this process, I discovered that while prices were stable until 2020, the post-pandemic era has been defined by extreme change. My analysis using absolute values revealed that 2021 saw the largest shock to the system with an 8.85% fluctuation, and monthly price jumps have nearly doubled in scale since the pandemic began. Although 2021 had the most dramatic change, I found that the absolute highest price index occurred in 2022.</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findings, I would recommend that clients move away from fixed-rate long-term planning and instead adopt flexible budgeting with built-in "buffer zones" to absorb these larger price fluctuations. Because market instability has doubled, I also suggest using adjustable pricing clauses in trade contracts to mitigate the risk of sudden index spikes. For future work, I would like to break this data down by specific industries, such as fuel and electronics, to determine which sectors are the primary drivers of this volatility. I would also like to correlate these findings with global shipping costs to see if there is a direct relationship between freight rates and the price "shocks" identified in this study.</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Subbaiah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