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LTVIP2025TMID33742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HematoVision: Advanced Blood Cell Classification Using Transfer Learning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0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9" name="image3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5731510" cy="3827780"/>
            <wp:effectExtent b="0" l="0" r="0" t="0"/>
            <wp:docPr descr="Graphical user interface, treemap chart&#10;&#10;Description automatically generated" id="11" name="image1.png"/>
            <a:graphic>
              <a:graphicData uri="http://schemas.openxmlformats.org/drawingml/2006/picture">
                <pic:pic>
                  <pic:nvPicPr>
                    <pic:cNvPr descr="Graphical user interface, treemap chart&#10;&#10;Description automatically generat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</w:rPr>
        <w:drawing>
          <wp:inline distB="0" distT="0" distL="0" distR="0">
            <wp:extent cx="3611587" cy="4323123"/>
            <wp:effectExtent b="0" l="0" r="0" t="0"/>
            <wp:docPr descr="Diagram&#10;&#10;Description automatically generated" id="10" name="image2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XG3UA7Rr+PJaOtrESVhbaMPwig==">CgMxLjA4AHIhMXRUZzVnRHVDaXRoeFJjMlM1MUdOSnRVMGxOYWxWcDB2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