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2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ule-3---assignment-2"/>
    <w:p>
      <w:pPr>
        <w:pStyle w:val="Heading1"/>
      </w:pPr>
      <w:r>
        <w:t xml:space="preserve">Module 3 - Assignment 2</w:t>
      </w:r>
    </w:p>
    <w:bookmarkEnd w:id="20"/>
    <w:bookmarkStart w:id="21" w:name="subramanian-subbu"/>
    <w:p>
      <w:pPr>
        <w:pStyle w:val="Heading1"/>
      </w:pPr>
      <w:r>
        <w:t xml:space="preserve">Subramanian, Subbu</w:t>
      </w:r>
    </w:p>
    <w:bookmarkEnd w:id="21"/>
    <w:bookmarkStart w:id="37" w:name="exploratory-data-analysis"/>
    <w:p>
      <w:pPr>
        <w:pStyle w:val="Heading1"/>
      </w:pPr>
      <w:r>
        <w:t xml:space="preserve">Exploratory Data Analysis</w:t>
      </w:r>
    </w:p>
    <w:p>
      <w:pPr>
        <w:pStyle w:val="FirstParagraph"/>
      </w:pPr>
      <w:r>
        <w:t xml:space="preserve">Diamond Color and Price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3Assign2Answer_files/figure-docx/Diamond%20Carat%20and%20Pric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1.) What do you notice from the scatterplot as the carat size increases? Price Increases</w:t>
      </w:r>
      <w:r>
        <w:t xml:space="preserve"> </w:t>
      </w:r>
      <w:r>
        <w:t xml:space="preserve">2.) From the scatterplot, what carats are most represented within the diamonds dataset? 1 to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color,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3Assign2Answer_files/figure-docx/Code%20to%20determine%20how%20color%20is%20tied%20to%20pric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plot isnt that useful as the price doesnt seem to vary much based on the color of the diamond.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3Assign2Answer_files/figure-docx/Color%20and%20Pric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1.) Does color impact the price? Again not conclusive as the same set of colors appears to be on bothe low price and high price ends.</w:t>
      </w:r>
      <w:r>
        <w:t xml:space="preserve"> </w:t>
      </w:r>
      <w:r>
        <w:t xml:space="preserve">2.) Are certain colors associated with carat size? Provide an example. Yes, the larger the carat the color worsens to J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dsample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diamonds[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3Assign2Answer_files/figure-docx/Sampling%20Dat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dsample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diamonds[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(diamonds),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diamonds,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od3Assign2Answer_files/figure-docx/unnamed-chunk-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think, when the carat is less the color of the diamond is very good, whereas when the carat size increases the color of the diamond detoriates.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2022-07-24T20:16:38Z</dcterms:created>
  <dcterms:modified xsi:type="dcterms:W3CDTF">2022-07-24T20:16:38Z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