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0F6B6B"/>
          <w:sz w:val="18"/>
        </w:rPr>
        <w:t>VITHI — OPERATIONAL INTELLIGENCE PRACTICE</w:t>
      </w:r>
    </w:p>
    <w:p>
      <w:r>
        <w:rPr>
          <w:rFonts w:ascii="Calibri" w:hAnsi="Calibri" w:eastAsia="Calibri"/>
          <w:b/>
          <w:i w:val="0"/>
          <w:color w:val="0B2E4A"/>
          <w:sz w:val="32"/>
        </w:rPr>
        <w:t>Delivery Plan — Critical Data Pipeline Reliability Diagnostic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444444"/>
          <w:sz w:val="20"/>
        </w:rPr>
        <w:t>What happens after the customer says yes. Directional model — tune per engagement.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Recommended 2-week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Day</w:t>
            </w:r>
          </w:p>
        </w:tc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Activity</w:t>
            </w:r>
          </w:p>
        </w:tc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Day 1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Kickoff, scope, select 5–10 Tier-1 pipelines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Diagnostic charter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Days 2–4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Evidence collection (runs, incidents, SLA, cost, ownership)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Evidence register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Days 5–7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Pipeline / incident walkthroughs with owners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Baseline and root-cause notes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Days 8–9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Scoring and heatmap (evidence-only)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Maturity scorecard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Day 10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Executive readout with sponsor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Roadmap and PoC scope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3–4 week model (complex estates)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44444"/>
          <w:sz w:val="20"/>
        </w:rPr>
        <w:t>Use when pipelines span multiple domains, evidence access is gated, or regulatory constraints slow walkthroughs. Extend evidence collection and walkthrough weeks; keep scoring + readout at the end. Do not dilute focus — still 5–10 Tier-1 pipelines, not the whole estate.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Week</w:t>
            </w:r>
          </w:p>
        </w:tc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Focus</w:t>
            </w:r>
          </w:p>
        </w:tc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Exit criteria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Week 1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Charter + access + Tier-1 selection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Signed scope and evidence access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Week 2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Deep evidence + walkthroughs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Complete evidence register for selected set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Week 3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Scoring, RCA maps, value logic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Draft scorecard and roadmap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Week 4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Executive readout + PoC options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Decision on next paid sprint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Role</w:t>
            </w:r>
          </w:p>
        </w:tc>
        <w:tc>
          <w:tcPr>
            <w:tcW w:type="dxa" w:w="5112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Responsibility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Customer sponsor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Pipeline selection, decision on next step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Pipeline / platform owners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Evidence access and walkthroughs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Vithi lead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Method, scoring integrity, readout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Vithi engineer(s)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Evidence collection, AWS artefact review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Exit products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Evidence register and reliability baseline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Maturity heatmap (scorecard) with Unknown/Validate where needed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Root-cause map for selected Tier-1 failures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30/60/90 roadmap and PoC recommendation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Commercial next-step options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444444"/>
          <w:sz w:val="20"/>
        </w:rPr>
        <w:t>Disclaimer: Timelines assume timely access to AWS consoles, logs, tickets and owners. Final benefits depend on customer baseline, evidence quality and agreed implementation scope.</w:t>
      </w:r>
    </w:p>
    <w:p>
      <w:r>
        <w:rPr>
          <w:rFonts w:ascii="Calibri" w:hAnsi="Calibri" w:eastAsia="Calibri"/>
          <w:b w:val="0"/>
          <w:i/>
          <w:color w:val="0F6B6B"/>
          <w:sz w:val="16"/>
        </w:rPr>
        <w:t>Vithi Operational Intelligence Practice  ·  Delivery Plan  ·  Confidential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