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0F6B6B"/>
          <w:sz w:val="18"/>
        </w:rPr>
        <w:t>VITHI — OPERATIONAL INTELLIGENCE PRACTICE</w:t>
      </w:r>
    </w:p>
    <w:p>
      <w:r>
        <w:rPr>
          <w:rFonts w:ascii="Calibri" w:hAnsi="Calibri" w:eastAsia="Calibri"/>
          <w:b/>
          <w:i w:val="0"/>
          <w:color w:val="0B2E4A"/>
          <w:sz w:val="32"/>
        </w:rPr>
        <w:t>PoC / Implementation Sprint Menu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444444"/>
          <w:sz w:val="20"/>
        </w:rPr>
        <w:t>Paid next steps after the diagnostic — conversion path from assessment to execution.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Pick one primary sprint aligned to the largest evidence gap. Each option is scoped for a fixed window on the selected Tier-1 set — not an open-ended transformation.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PoC option</w:t>
            </w:r>
          </w:p>
        </w:tc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Scope</w:t>
            </w:r>
          </w:p>
        </w:tc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Typical outcome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Tier-1 Pipeline Stabilization Sprint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Fix 2–3 recurring failure patterns on selected pipelines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Fewer repeat incidents; clearer recovery path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SLA Monitoring Sprint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Implement SLOs, freshness checks and alerting for selected pipelines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Measurable SLA adherence and early breach signals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Recovery Sprint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Safer replay / retry / recovery controls; idempotency checks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Lower MTTR; reduced duplicate / reconciliation tax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RCA Sprint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Runbooks, RCA templates, incident taxonomy, evidence collector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Repeatable RCA; less L3 tribal knowledge dependency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DataOps Validation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Combine SLA, failure, DQ, cost and incident evidence in one view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Single operational picture for sponsors and owners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How to choose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If MTTR / cascade failures dominate → Stabilization or Recovery Sprint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If late detection / SLA breaches dominate → SLA Monitoring Sprint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If same incidents return with weak write-ups → RCA Sprint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If sponsors lack a single truth → DataOps Validation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Commercial framing (safe)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Present as potential opportunity areas after baseline validation. Do not guarantee MTTR reduction, payback, or savings. Tool-agnostic: improve existing AWS / observability / DQ tools where present; define gaps where absent.</w:t>
      </w:r>
    </w:p>
    <w:p>
      <w:r>
        <w:rPr>
          <w:rFonts w:ascii="Calibri" w:hAnsi="Calibri" w:eastAsia="Calibri"/>
          <w:b w:val="0"/>
          <w:i/>
          <w:color w:val="0F6B6B"/>
          <w:sz w:val="16"/>
        </w:rPr>
        <w:t>Vithi Operational Intelligence Practice  ·  PoC / Implementation Menu  ·  Confidential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