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0F6B6B"/>
          <w:sz w:val="18"/>
        </w:rPr>
        <w:t>VITHI — OPERATIONAL INTELLIGENCE PRACTICE</w:t>
      </w:r>
    </w:p>
    <w:p>
      <w:r>
        <w:rPr>
          <w:rFonts w:ascii="Calibri" w:hAnsi="Calibri" w:eastAsia="Calibri"/>
          <w:b/>
          <w:i w:val="0"/>
          <w:color w:val="0B2E4A"/>
          <w:sz w:val="32"/>
        </w:rPr>
        <w:t>Critical Data Pipeline Reliability Diagnostic — Pre-Discovery Form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444444"/>
          <w:sz w:val="20"/>
        </w:rPr>
        <w:t>2-page BD first-touch form. Do NOT send the full questionnaire at first contact.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Purpose: Capture enough context to qualify the opportunity and scope a focused diagnostic on 5–10 Tier-1 AWS pipelines. Complete with the customer sponsor before proposing assessment dates.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1. Customer &amp; engagement basics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Field</w:t>
            </w:r>
          </w:p>
        </w:tc>
        <w:tc>
          <w:tcPr>
            <w:tcW w:type="dxa" w:w="5112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Customer response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Customer / business unit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Sponsor name &amp; role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Technical counterpart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Preferred timeline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Decision expected from assessment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2. Top 3–5 critical pipelines / reports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List the pipelines or reports that create the most business pain when late or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#</w:t>
            </w:r>
          </w:p>
        </w:tc>
        <w:tc>
          <w:tcPr>
            <w:tcW w:type="dxa" w:w="2556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Pipeline / report name</w:t>
            </w:r>
          </w:p>
        </w:tc>
        <w:tc>
          <w:tcPr>
            <w:tcW w:type="dxa" w:w="2556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Business process supported</w:t>
            </w:r>
          </w:p>
        </w:tc>
        <w:tc>
          <w:tcPr>
            <w:tcW w:type="dxa" w:w="2556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1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2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3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4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5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3. SLA, failure &amp; recovery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Question</w:t>
            </w:r>
          </w:p>
        </w:tc>
        <w:tc>
          <w:tcPr>
            <w:tcW w:type="dxa" w:w="5112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Response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Current SLA / expected completion window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Failure or delay frequency (last 90 days)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Typical recovery time (MTTR) for Tier-1 failures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Manual support effort (hours/week or FTE)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Last major incident impact (business / regulatory)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4. Current AWS data stack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Tick / list what is in use today (tool-agnostic — we assess control, not sell a product).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Orchestration: MWAA / Step Functions / Airflow / other _______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Compute: Glue / EMR / Spark / Lambda / other _______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Storage / warehouse: S3 / Redshift / Athena / other _______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Observability: CloudWatch / Datadog / Monte Carlo / other _______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DQ / contracts: Great Expectations / Deequ / custom / other _______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ITSM / incident: ServiceNow / Jira / other _______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5. Evidence availability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Evidence type</w:t>
            </w:r>
          </w:p>
        </w:tc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Available? (Y/N/Partial)</w:t>
            </w:r>
          </w:p>
        </w:tc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Pipeline run / orchestration history (90 days)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Incident / RCA records for Tier-1 failures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SLA / freshness dashboards or reports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Cost by pipeline / workload (FinOps view)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Ownership / RACI / runbooks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6. Qualification checklist (internal)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[ ] AWS-heavy estate with Glue/EMR/MWAA/Step Functions (or equivalent)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[ ] Visible pain on critical batch / T+1 / regulatory / finance pipelines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[ ] Warm relationship or senior sponsor access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[ ] Customer wants roadmap / control — not only a tool demo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[ ] Not asking for Big-4 enterprise-wide transformation on day one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444444"/>
          <w:sz w:val="20"/>
        </w:rPr>
        <w:t>Next step after this form: 30-minute discovery call → propose 2-week (or 3–4 week) diagnostic → executive readout with PoC options.</w:t>
      </w:r>
    </w:p>
    <w:p>
      <w:r>
        <w:rPr>
          <w:rFonts w:ascii="Calibri" w:hAnsi="Calibri" w:eastAsia="Calibri"/>
          <w:b w:val="0"/>
          <w:i/>
          <w:color w:val="0F6B6B"/>
          <w:sz w:val="16"/>
        </w:rPr>
        <w:t>Vithi Operational Intelligence Practice  ·  Pre-Discovery Form — AWS Edition  ·  Confidential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