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6B6B"/>
          <w:sz w:val="18"/>
        </w:rPr>
        <w:t>VITHI — OPERATIONAL INTELLIGENCE PRACTICE</w:t>
      </w:r>
    </w:p>
    <w:p>
      <w:r>
        <w:rPr>
          <w:rFonts w:ascii="Calibri" w:hAnsi="Calibri" w:eastAsia="Calibri"/>
          <w:b/>
          <w:i w:val="0"/>
          <w:color w:val="0B2E4A"/>
          <w:sz w:val="32"/>
        </w:rPr>
        <w:t>Sample Executive Readout — Critical Data Pipeline Reliability Diagnostic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Illustrative sample output for BD / customer preview. Not a live customer report.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Use this document to show customers what they receive after the diagnostic. Replace bracketed placeholders with real evidence after assessment.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1. Scope and selected Tier-1 pipelines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Assessment covered [N] Tier-1 pipelines supporting [finance close / risk / regulatory / ops]. Pipelines selected with the sponsor: [P1], [P2], [P3], … Focus: reliability, recovery, freshness, cost visibility and operational ownership — not a full-estate maturity survey.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2. Evidence reviewed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Scores are evidence-based. Sources reviewed: orchestration run history, CloudWatch / job logs, incident tickets, SLA dashboards, cost explorer / tagging extracts, DQ check results, runbooks and RACI. Where evidence was insufficient, the score was marked Unknown / Validate — not guessed.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3. Reliability baseline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Illustrative baseline for discussion (replace with measured values):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Tier-1 SLA adherence: [~75–85%]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Median MTTR for critical failures: [8–14 hours]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Freshness contract coverage: [partial / missing]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Idempotent replay discipline: [inconsistent]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Final benefits depend on customer baseline, evidence quality and agreed implementation scope.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4. Maturity heatmap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Weighted overall (illustrative): [3.x / 5]. Largest gaps typically appear in Reliability &amp; Recovery, Data Quality / Contracts, Incident / Problem Management, and FinOps / efficiency visibility. Use the Scorecard Executive Summary sheet for the live heatmap.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5. Top failure patterns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Recurring patterns observed in similar AWS estates: shuffle / skew / OOM on Glue-EMR jobs; cascade from one upstream break; schema drift without detection; duplicate loads after non-idempotent retry; cost of retries invisible to FinOps; same RCA themes returning next cycle.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6. Root-cause chain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Example chain (illustrative): missing freshness contract → late detection → manual multi-system hunt → L3-dependent recovery → no machine-readable knowledge capture → repeat failure next close cycle. Diagnostic output is a root-cause map per selected pipeline, not a generic score only.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7. Cost-of-failure estimate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Illustrative opportunity framing only — not a guaranteed saving: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Retry / wasted compute as % of data workload spend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Engineer hours in recovery and reconciliation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• Business / regulatory exposure from delayed or incorrect reports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Label every figure as: Potential opportunity area / Validated after customer baseline.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8. 30 / 60 / 90-day roadmap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30 days: stabilize top failure patterns, evidence register, runbooks for Tier-1 set.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60 days: SLA / freshness monitoring, recovery controls, ownership clarity.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90 days: unified operational view (reliability + DQ + cost + incident), PoC outcomes reviewed, next sprint backlog agreed.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9. PoC recommendation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Recommended paid next step (pick one primary): Tier-1 Pipeline Stabilization Sprint; SLA Monitoring Sprint; Recovery Sprint; RCA Sprint; or DataOps Validation dashboard. See PoC / Implementation Menu for scope options.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10. Commercial next step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Decision options: (A) approve selected PoC sprint, (B) extend diagnostic to adjacent pipelines, (C) pause with scorecard retained for internal use. Indicative bands discussed separately; no commitment is implied by this sample readout.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Safe messaging reminder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Do not present illustrative metrics as guaranteed outcomes.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Do not claim AI-based RCA unless a live demo exists.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Position as tool-agnostic diagnostic + implementation partner.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Primary offer: Reliability, recovery, trust and SLA confidence for critical AWS data pipelines.</w:t>
      </w:r>
    </w:p>
    <w:p>
      <w:r>
        <w:rPr>
          <w:rFonts w:ascii="Calibri" w:hAnsi="Calibri" w:eastAsia="Calibri"/>
          <w:b w:val="0"/>
          <w:i/>
          <w:color w:val="0F6B6B"/>
          <w:sz w:val="16"/>
        </w:rPr>
        <w:t>Vithi Operational Intelligence Practice  ·  Sample Executive Readout  ·  Confidential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