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/>
          <w:i w:val="0"/>
          <w:color w:val="0F6B6B"/>
          <w:sz w:val="18"/>
        </w:rPr>
        <w:t>VITHI — OPERATIONAL INTELLIGENCE PRACTICE</w:t>
      </w:r>
    </w:p>
    <w:p>
      <w:r>
        <w:rPr>
          <w:rFonts w:ascii="Calibri" w:hAnsi="Calibri" w:eastAsia="Calibri"/>
          <w:b/>
          <w:i w:val="0"/>
          <w:color w:val="0B2E4A"/>
          <w:sz w:val="32"/>
        </w:rPr>
        <w:t>Why Vithi — Critical Data Pipeline Reliability Diagnostic (AWS)</w:t>
      </w:r>
    </w:p>
    <w:p>
      <w:pPr>
        <w:spacing w:after="80"/>
      </w:pPr>
      <w:r>
        <w:rPr>
          <w:rFonts w:ascii="Calibri" w:hAnsi="Calibri" w:eastAsia="Calibri"/>
          <w:b w:val="0"/>
          <w:i/>
          <w:color w:val="444444"/>
          <w:sz w:val="20"/>
        </w:rPr>
        <w:t>Competitive positioning for BD conversations. Focused diagnostic — not Big-4 theatre.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444444"/>
          <w:sz w:val="20"/>
        </w:rPr>
        <w:t>Vithi helps AWS-heavy data teams improve reliability of critical data pipelines. We start with an evidence-led diagnostic across selected Tier-1 pipelines. The output is a root-cause map, reliability baseline, maturity heatmap, cost-of-failure estimate, and a 30/60/90 implementation roadmap — not a generic maturity score alone.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0B2E4A"/>
          <w:sz w:val="26"/>
        </w:rPr>
        <w:t>Customer concern → Vithi answer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F1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E4A"/>
                <w:sz w:val="18"/>
              </w:rPr>
              <w:t>Customer concern</w:t>
            </w:r>
          </w:p>
        </w:tc>
        <w:tc>
          <w:tcPr>
            <w:tcW w:type="dxa" w:w="5112"/>
            <w:shd w:fill="E8F1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E4A"/>
                <w:sz w:val="18"/>
              </w:rPr>
              <w:t>Vithi answer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Why not Big 4?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Faster, focused, senior-led, lower-friction diagnostic on 5–10 Tier-1 pipelines — not enterprise-wide transformation theatre.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Why not AWS Well-Architected only?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Aligned to Well-Architected pillars, but deeper on DataOps execution: recovery, DQ, SLA, incident, runbook and operating model.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Why not a tool vendor?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Tool-agnostic. We assess whether AWS, CloudWatch, MWAA, Glue, EMR, dbt, Datadog, Monte Carlo or other tools give the control you need — then improve usage or define the gap roadmap.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Why not internal team only?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Structured evidence method, external challenge, and roadmap discipline — without replacing your team.</w:t>
            </w:r>
          </w:p>
        </w:tc>
      </w:tr>
    </w:tbl>
    <w:p/>
    <w:p>
      <w:pPr>
        <w:spacing w:before="160" w:after="80"/>
      </w:pPr>
      <w:r>
        <w:rPr>
          <w:rFonts w:ascii="Calibri" w:hAnsi="Calibri" w:eastAsia="Calibri"/>
          <w:b/>
          <w:i w:val="0"/>
          <w:color w:val="0B2E4A"/>
          <w:sz w:val="26"/>
        </w:rPr>
        <w:t>Where Vithi wins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0"/>
        </w:rPr>
        <w:t>AWS-heavy Glue / EMR / Spark / MWAA / Step Functions estates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0"/>
        </w:rPr>
        <w:t>Critical batch / T+1 / regulatory / finance reporting pipelines with repeated failures or long recovery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0"/>
        </w:rPr>
        <w:t>Mid-market or focused enterprise unit; warm introduction preferred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0"/>
        </w:rPr>
        <w:t>Customer needs clarity and a path to execution before buying another tool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0B2E4A"/>
          <w:sz w:val="26"/>
        </w:rPr>
        <w:t>Where we should not compete first-wave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0"/>
        </w:rPr>
        <w:t>Enterprise-wide DataOps transformation across many platforms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0"/>
        </w:rPr>
        <w:t>Gartner / Big-4 benchmarked maturity theatre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0"/>
        </w:rPr>
        <w:t>Tool product demo as the primary buying criteria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0"/>
        </w:rPr>
        <w:t>Global 24x7 managed ops on day one; multi-cloud board-level AI governance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0B2E4A"/>
          <w:sz w:val="26"/>
        </w:rPr>
        <w:t>One-line offer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444444"/>
          <w:sz w:val="20"/>
        </w:rPr>
        <w:t>Reliability, recovery, trust and SLA confidence for critical AWS data pipelines — evidence-led diagnostic, then practical implementation sprint.</w:t>
      </w:r>
    </w:p>
    <w:p>
      <w:r>
        <w:rPr>
          <w:rFonts w:ascii="Calibri" w:hAnsi="Calibri" w:eastAsia="Calibri"/>
          <w:b w:val="0"/>
          <w:i/>
          <w:color w:val="0F6B6B"/>
          <w:sz w:val="16"/>
        </w:rPr>
        <w:t>Vithi Operational Intelligence Practice  ·  Why Vithi One-Pager  ·  Confidential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