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color w:val="1F3864"/>
          <w:sz w:val="36"/>
        </w:rPr>
        <w:t>Full Observability Assessment</w:t>
      </w:r>
    </w:p>
    <w:p>
      <w:pPr>
        <w:jc w:val="center"/>
      </w:pPr>
      <w:r>
        <w:rPr>
          <w:rFonts w:ascii="Calibri" w:hAnsi="Calibri" w:cs="Calibri" w:eastAsia="Calibri"/>
          <w:b/>
          <w:color w:val="1A1A1A"/>
          <w:sz w:val="22"/>
        </w:rPr>
        <w:t>Track B  |  4-Week Engagement  |  Scope: O0-O12  |  Evidence: EV01-EV13</w:t>
      </w:r>
    </w:p>
    <w:p/>
    <w:p>
      <w:r>
        <w:rPr>
          <w:rFonts w:ascii="Calibri" w:hAnsi="Calibri" w:cs="Calibri" w:eastAsia="Calibri"/>
          <w:i/>
          <w:color w:val="1A1A1A"/>
          <w:sz w:val="22"/>
        </w:rPr>
        <w:t>This document provides a complete, standalone offer brief for the Full Observability Assessment. It is designed for Business Development (BD) and pre-sales teams to position, scope, and agree this engagement with customers. All outcome figures are illustrative targets dependent on the customer's baseline evidence. No fixed outcomes are guaranteed. Customers completing the Rapid Diagnostic (Track A) may upgrade to Track B with credit for evidence already submitted.</w:t>
      </w:r>
    </w:p>
    <w:p>
      <w:pPr>
        <w:pBdr>
          <w:bottom w:val="single" w:sz="6" w:space="1" w:color="AAAAAA"/>
        </w:pBdr>
      </w:pPr>
    </w:p>
    <w:p>
      <w:pPr>
        <w:spacing w:before="280" w:after="80"/>
      </w:pPr>
      <w:r>
        <w:rPr>
          <w:rFonts w:ascii="Calibri" w:hAnsi="Calibri" w:cs="Calibri" w:eastAsia="Calibri"/>
          <w:b/>
          <w:color w:val="1A1A1A"/>
          <w:sz w:val="22"/>
        </w:rPr>
        <w:t>Section 1: Scope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7375E"/>
          </w:tcPr>
          <w:p>
            <w:r>
              <w:rPr>
                <w:rFonts w:ascii="Calibri" w:hAnsi="Calibri" w:cs="Calibri" w:eastAsia="Calibri"/>
                <w:b/>
                <w:color w:val="FFFFFF"/>
                <w:sz w:val="20"/>
              </w:rPr>
              <w:t>Dimension</w:t>
            </w:r>
          </w:p>
        </w:tc>
        <w:tc>
          <w:tcPr>
            <w:tcW w:type="dxa" w:w="2351"/>
            <w:shd w:val="clear" w:color="auto" w:fill="17375E"/>
          </w:tcPr>
          <w:p>
            <w:r>
              <w:rPr>
                <w:rFonts w:ascii="Calibri" w:hAnsi="Calibri" w:cs="Calibri" w:eastAsia="Calibri"/>
                <w:b/>
                <w:color w:val="FFFFFF"/>
                <w:sz w:val="20"/>
              </w:rPr>
              <w:t>Code</w:t>
            </w:r>
          </w:p>
        </w:tc>
        <w:tc>
          <w:tcPr>
            <w:tcW w:type="dxa" w:w="2351"/>
            <w:shd w:val="clear" w:color="auto" w:fill="17375E"/>
          </w:tcPr>
          <w:p>
            <w:r>
              <w:rPr>
                <w:rFonts w:ascii="Calibri" w:hAnsi="Calibri" w:cs="Calibri" w:eastAsia="Calibri"/>
                <w:b/>
                <w:color w:val="FFFFFF"/>
                <w:sz w:val="20"/>
              </w:rPr>
              <w:t>Classification</w:t>
            </w:r>
          </w:p>
        </w:tc>
        <w:tc>
          <w:tcPr>
            <w:tcW w:type="dxa" w:w="2351"/>
            <w:shd w:val="clear" w:color="auto" w:fill="17375E"/>
          </w:tcPr>
          <w:p>
            <w:r>
              <w:rPr>
                <w:rFonts w:ascii="Calibri" w:hAnsi="Calibri" w:cs="Calibri" w:eastAsia="Calibri"/>
                <w:b/>
                <w:color w:val="FFFFFF"/>
                <w:sz w:val="20"/>
              </w:rPr>
              <w:t>Track B Coverage</w:t>
            </w:r>
          </w:p>
        </w:tc>
      </w:tr>
      <w:tr>
        <w:tc>
          <w:tcPr>
            <w:tcW w:type="dxa" w:w="2351"/>
          </w:tcPr>
          <w:p>
            <w:r>
              <w:rPr>
                <w:rFonts w:ascii="Calibri" w:hAnsi="Calibri" w:cs="Calibri" w:eastAsia="Calibri"/>
                <w:color w:val="1A1A1A"/>
                <w:sz w:val="20"/>
              </w:rPr>
              <w:t>Observability Strategy, Ownership &amp; Governance</w:t>
            </w:r>
          </w:p>
        </w:tc>
        <w:tc>
          <w:tcPr>
            <w:tcW w:type="dxa" w:w="2351"/>
          </w:tcPr>
          <w:p>
            <w:r>
              <w:rPr>
                <w:rFonts w:ascii="Calibri" w:hAnsi="Calibri" w:cs="Calibri" w:eastAsia="Calibri"/>
                <w:color w:val="1A1A1A"/>
                <w:sz w:val="20"/>
              </w:rPr>
              <w:t>O0</w:t>
            </w:r>
          </w:p>
        </w:tc>
        <w:tc>
          <w:tcPr>
            <w:tcW w:type="dxa" w:w="2351"/>
          </w:tcPr>
          <w:p>
            <w:r>
              <w:rPr>
                <w:rFonts w:ascii="Calibri" w:hAnsi="Calibri" w:cs="Calibri" w:eastAsia="Calibri"/>
                <w:color w:val="1A1A1A"/>
                <w:sz w:val="20"/>
              </w:rPr>
              <w:t>Core / Mandatory</w:t>
            </w:r>
          </w:p>
        </w:tc>
        <w:tc>
          <w:tcPr>
            <w:tcW w:type="dxa" w:w="2351"/>
          </w:tcPr>
          <w:p>
            <w:r>
              <w:rPr>
                <w:rFonts w:ascii="Calibri" w:hAnsi="Calibri" w:cs="Calibri" w:eastAsia="Calibri"/>
                <w:color w:val="1A1A1A"/>
                <w:sz w:val="20"/>
              </w:rPr>
              <w:t>Included</w:t>
            </w:r>
          </w:p>
        </w:tc>
      </w:tr>
      <w:tr>
        <w:tc>
          <w:tcPr>
            <w:tcW w:type="dxa" w:w="2351"/>
            <w:shd w:val="clear" w:color="auto" w:fill="EEF2F7"/>
          </w:tcPr>
          <w:p>
            <w:r>
              <w:rPr>
                <w:rFonts w:ascii="Calibri" w:hAnsi="Calibri" w:cs="Calibri" w:eastAsia="Calibri"/>
                <w:color w:val="1A1A1A"/>
                <w:sz w:val="20"/>
              </w:rPr>
              <w:t>Telemetry Ingestion, Coverage &amp; Standards</w:t>
            </w:r>
          </w:p>
        </w:tc>
        <w:tc>
          <w:tcPr>
            <w:tcW w:type="dxa" w:w="2351"/>
            <w:shd w:val="clear" w:color="auto" w:fill="EEF2F7"/>
          </w:tcPr>
          <w:p>
            <w:r>
              <w:rPr>
                <w:rFonts w:ascii="Calibri" w:hAnsi="Calibri" w:cs="Calibri" w:eastAsia="Calibri"/>
                <w:color w:val="1A1A1A"/>
                <w:sz w:val="20"/>
              </w:rPr>
              <w:t>O1</w:t>
            </w:r>
          </w:p>
        </w:tc>
        <w:tc>
          <w:tcPr>
            <w:tcW w:type="dxa" w:w="2351"/>
            <w:shd w:val="clear" w:color="auto" w:fill="EEF2F7"/>
          </w:tcPr>
          <w:p>
            <w:r>
              <w:rPr>
                <w:rFonts w:ascii="Calibri" w:hAnsi="Calibri" w:cs="Calibri" w:eastAsia="Calibri"/>
                <w:color w:val="1A1A1A"/>
                <w:sz w:val="20"/>
              </w:rPr>
              <w:t>Core / Mandatory</w:t>
            </w:r>
          </w:p>
        </w:tc>
        <w:tc>
          <w:tcPr>
            <w:tcW w:type="dxa" w:w="2351"/>
            <w:shd w:val="clear" w:color="auto" w:fill="EEF2F7"/>
          </w:tcPr>
          <w:p>
            <w:r>
              <w:rPr>
                <w:rFonts w:ascii="Calibri" w:hAnsi="Calibri" w:cs="Calibri" w:eastAsia="Calibri"/>
                <w:color w:val="1A1A1A"/>
                <w:sz w:val="20"/>
              </w:rPr>
              <w:t>Included</w:t>
            </w:r>
          </w:p>
        </w:tc>
      </w:tr>
      <w:tr>
        <w:tc>
          <w:tcPr>
            <w:tcW w:type="dxa" w:w="2351"/>
          </w:tcPr>
          <w:p>
            <w:r>
              <w:rPr>
                <w:rFonts w:ascii="Calibri" w:hAnsi="Calibri" w:cs="Calibri" w:eastAsia="Calibri"/>
                <w:color w:val="1A1A1A"/>
                <w:sz w:val="20"/>
              </w:rPr>
              <w:t>Correlation, Distributed Tracing &amp; Dependency</w:t>
            </w:r>
          </w:p>
        </w:tc>
        <w:tc>
          <w:tcPr>
            <w:tcW w:type="dxa" w:w="2351"/>
          </w:tcPr>
          <w:p>
            <w:r>
              <w:rPr>
                <w:rFonts w:ascii="Calibri" w:hAnsi="Calibri" w:cs="Calibri" w:eastAsia="Calibri"/>
                <w:color w:val="1A1A1A"/>
                <w:sz w:val="20"/>
              </w:rPr>
              <w:t>O2</w:t>
            </w:r>
          </w:p>
        </w:tc>
        <w:tc>
          <w:tcPr>
            <w:tcW w:type="dxa" w:w="2351"/>
          </w:tcPr>
          <w:p>
            <w:r>
              <w:rPr>
                <w:rFonts w:ascii="Calibri" w:hAnsi="Calibri" w:cs="Calibri" w:eastAsia="Calibri"/>
                <w:color w:val="1A1A1A"/>
                <w:sz w:val="20"/>
              </w:rPr>
              <w:t>Core / Mandatory</w:t>
            </w:r>
          </w:p>
        </w:tc>
        <w:tc>
          <w:tcPr>
            <w:tcW w:type="dxa" w:w="2351"/>
          </w:tcPr>
          <w:p>
            <w:r>
              <w:rPr>
                <w:rFonts w:ascii="Calibri" w:hAnsi="Calibri" w:cs="Calibri" w:eastAsia="Calibri"/>
                <w:color w:val="1A1A1A"/>
                <w:sz w:val="20"/>
              </w:rPr>
              <w:t>Included</w:t>
            </w:r>
          </w:p>
        </w:tc>
      </w:tr>
      <w:tr>
        <w:tc>
          <w:tcPr>
            <w:tcW w:type="dxa" w:w="2351"/>
            <w:shd w:val="clear" w:color="auto" w:fill="EEF2F7"/>
          </w:tcPr>
          <w:p>
            <w:r>
              <w:rPr>
                <w:rFonts w:ascii="Calibri" w:hAnsi="Calibri" w:cs="Calibri" w:eastAsia="Calibri"/>
                <w:color w:val="1A1A1A"/>
                <w:sz w:val="20"/>
              </w:rPr>
              <w:t>Alert Quality, Signal-to-Noise &amp; Owner Routing</w:t>
            </w:r>
          </w:p>
        </w:tc>
        <w:tc>
          <w:tcPr>
            <w:tcW w:type="dxa" w:w="2351"/>
            <w:shd w:val="clear" w:color="auto" w:fill="EEF2F7"/>
          </w:tcPr>
          <w:p>
            <w:r>
              <w:rPr>
                <w:rFonts w:ascii="Calibri" w:hAnsi="Calibri" w:cs="Calibri" w:eastAsia="Calibri"/>
                <w:color w:val="1A1A1A"/>
                <w:sz w:val="20"/>
              </w:rPr>
              <w:t>O3</w:t>
            </w:r>
          </w:p>
        </w:tc>
        <w:tc>
          <w:tcPr>
            <w:tcW w:type="dxa" w:w="2351"/>
            <w:shd w:val="clear" w:color="auto" w:fill="EEF2F7"/>
          </w:tcPr>
          <w:p>
            <w:r>
              <w:rPr>
                <w:rFonts w:ascii="Calibri" w:hAnsi="Calibri" w:cs="Calibri" w:eastAsia="Calibri"/>
                <w:color w:val="1A1A1A"/>
                <w:sz w:val="20"/>
              </w:rPr>
              <w:t>Core / Mandatory</w:t>
            </w:r>
          </w:p>
        </w:tc>
        <w:tc>
          <w:tcPr>
            <w:tcW w:type="dxa" w:w="2351"/>
            <w:shd w:val="clear" w:color="auto" w:fill="EEF2F7"/>
          </w:tcPr>
          <w:p>
            <w:r>
              <w:rPr>
                <w:rFonts w:ascii="Calibri" w:hAnsi="Calibri" w:cs="Calibri" w:eastAsia="Calibri"/>
                <w:color w:val="1A1A1A"/>
                <w:sz w:val="20"/>
              </w:rPr>
              <w:t>Included</w:t>
            </w:r>
          </w:p>
        </w:tc>
      </w:tr>
      <w:tr>
        <w:tc>
          <w:tcPr>
            <w:tcW w:type="dxa" w:w="2351"/>
          </w:tcPr>
          <w:p>
            <w:r>
              <w:rPr>
                <w:rFonts w:ascii="Calibri" w:hAnsi="Calibri" w:cs="Calibri" w:eastAsia="Calibri"/>
                <w:color w:val="1A1A1A"/>
                <w:sz w:val="20"/>
              </w:rPr>
              <w:t>SLI, SLO &amp; Error Budget Governance</w:t>
            </w:r>
          </w:p>
        </w:tc>
        <w:tc>
          <w:tcPr>
            <w:tcW w:type="dxa" w:w="2351"/>
          </w:tcPr>
          <w:p>
            <w:r>
              <w:rPr>
                <w:rFonts w:ascii="Calibri" w:hAnsi="Calibri" w:cs="Calibri" w:eastAsia="Calibri"/>
                <w:color w:val="1A1A1A"/>
                <w:sz w:val="20"/>
              </w:rPr>
              <w:t>O4</w:t>
            </w:r>
          </w:p>
        </w:tc>
        <w:tc>
          <w:tcPr>
            <w:tcW w:type="dxa" w:w="2351"/>
          </w:tcPr>
          <w:p>
            <w:r>
              <w:rPr>
                <w:rFonts w:ascii="Calibri" w:hAnsi="Calibri" w:cs="Calibri" w:eastAsia="Calibri"/>
                <w:color w:val="1A1A1A"/>
                <w:sz w:val="20"/>
              </w:rPr>
              <w:t>Core / Mandatory</w:t>
            </w:r>
          </w:p>
        </w:tc>
        <w:tc>
          <w:tcPr>
            <w:tcW w:type="dxa" w:w="2351"/>
          </w:tcPr>
          <w:p>
            <w:r>
              <w:rPr>
                <w:rFonts w:ascii="Calibri" w:hAnsi="Calibri" w:cs="Calibri" w:eastAsia="Calibri"/>
                <w:color w:val="1A1A1A"/>
                <w:sz w:val="20"/>
              </w:rPr>
              <w:t>Included</w:t>
            </w:r>
          </w:p>
        </w:tc>
      </w:tr>
      <w:tr>
        <w:tc>
          <w:tcPr>
            <w:tcW w:type="dxa" w:w="2351"/>
            <w:shd w:val="clear" w:color="auto" w:fill="EEF2F7"/>
          </w:tcPr>
          <w:p>
            <w:r>
              <w:rPr>
                <w:rFonts w:ascii="Calibri" w:hAnsi="Calibri" w:cs="Calibri" w:eastAsia="Calibri"/>
                <w:color w:val="1A1A1A"/>
                <w:sz w:val="20"/>
              </w:rPr>
              <w:t>Dashboards, Runbooks &amp; Operational Readiness</w:t>
            </w:r>
          </w:p>
        </w:tc>
        <w:tc>
          <w:tcPr>
            <w:tcW w:type="dxa" w:w="2351"/>
            <w:shd w:val="clear" w:color="auto" w:fill="EEF2F7"/>
          </w:tcPr>
          <w:p>
            <w:r>
              <w:rPr>
                <w:rFonts w:ascii="Calibri" w:hAnsi="Calibri" w:cs="Calibri" w:eastAsia="Calibri"/>
                <w:color w:val="1A1A1A"/>
                <w:sz w:val="20"/>
              </w:rPr>
              <w:t>O5</w:t>
            </w:r>
          </w:p>
        </w:tc>
        <w:tc>
          <w:tcPr>
            <w:tcW w:type="dxa" w:w="2351"/>
            <w:shd w:val="clear" w:color="auto" w:fill="EEF2F7"/>
          </w:tcPr>
          <w:p>
            <w:r>
              <w:rPr>
                <w:rFonts w:ascii="Calibri" w:hAnsi="Calibri" w:cs="Calibri" w:eastAsia="Calibri"/>
                <w:color w:val="1A1A1A"/>
                <w:sz w:val="20"/>
              </w:rPr>
              <w:t>Core / Mandatory</w:t>
            </w:r>
          </w:p>
        </w:tc>
        <w:tc>
          <w:tcPr>
            <w:tcW w:type="dxa" w:w="2351"/>
            <w:shd w:val="clear" w:color="auto" w:fill="EEF2F7"/>
          </w:tcPr>
          <w:p>
            <w:r>
              <w:rPr>
                <w:rFonts w:ascii="Calibri" w:hAnsi="Calibri" w:cs="Calibri" w:eastAsia="Calibri"/>
                <w:color w:val="1A1A1A"/>
                <w:sz w:val="20"/>
              </w:rPr>
              <w:t>Included</w:t>
            </w:r>
          </w:p>
        </w:tc>
      </w:tr>
      <w:tr>
        <w:tc>
          <w:tcPr>
            <w:tcW w:type="dxa" w:w="2351"/>
          </w:tcPr>
          <w:p>
            <w:r>
              <w:rPr>
                <w:rFonts w:ascii="Calibri" w:hAnsi="Calibri" w:cs="Calibri" w:eastAsia="Calibri"/>
                <w:color w:val="1A1A1A"/>
                <w:sz w:val="20"/>
              </w:rPr>
              <w:t>Incident Response, MTTR &amp; Continuous RCA</w:t>
            </w:r>
          </w:p>
        </w:tc>
        <w:tc>
          <w:tcPr>
            <w:tcW w:type="dxa" w:w="2351"/>
          </w:tcPr>
          <w:p>
            <w:r>
              <w:rPr>
                <w:rFonts w:ascii="Calibri" w:hAnsi="Calibri" w:cs="Calibri" w:eastAsia="Calibri"/>
                <w:color w:val="1A1A1A"/>
                <w:sz w:val="20"/>
              </w:rPr>
              <w:t>O6</w:t>
            </w:r>
          </w:p>
        </w:tc>
        <w:tc>
          <w:tcPr>
            <w:tcW w:type="dxa" w:w="2351"/>
          </w:tcPr>
          <w:p>
            <w:r>
              <w:rPr>
                <w:rFonts w:ascii="Calibri" w:hAnsi="Calibri" w:cs="Calibri" w:eastAsia="Calibri"/>
                <w:color w:val="1A1A1A"/>
                <w:sz w:val="20"/>
              </w:rPr>
              <w:t>Core / Mandatory</w:t>
            </w:r>
          </w:p>
        </w:tc>
        <w:tc>
          <w:tcPr>
            <w:tcW w:type="dxa" w:w="2351"/>
          </w:tcPr>
          <w:p>
            <w:r>
              <w:rPr>
                <w:rFonts w:ascii="Calibri" w:hAnsi="Calibri" w:cs="Calibri" w:eastAsia="Calibri"/>
                <w:color w:val="1A1A1A"/>
                <w:sz w:val="20"/>
              </w:rPr>
              <w:t>Included</w:t>
            </w:r>
          </w:p>
        </w:tc>
      </w:tr>
      <w:tr>
        <w:tc>
          <w:tcPr>
            <w:tcW w:type="dxa" w:w="2351"/>
            <w:shd w:val="clear" w:color="auto" w:fill="EEF2F7"/>
          </w:tcPr>
          <w:p>
            <w:r>
              <w:rPr>
                <w:rFonts w:ascii="Calibri" w:hAnsi="Calibri" w:cs="Calibri" w:eastAsia="Calibri"/>
                <w:color w:val="1A1A1A"/>
                <w:sz w:val="20"/>
              </w:rPr>
              <w:t>Logging Cost, Retention &amp; Audit Governance</w:t>
            </w:r>
          </w:p>
        </w:tc>
        <w:tc>
          <w:tcPr>
            <w:tcW w:type="dxa" w:w="2351"/>
            <w:shd w:val="clear" w:color="auto" w:fill="EEF2F7"/>
          </w:tcPr>
          <w:p>
            <w:r>
              <w:rPr>
                <w:rFonts w:ascii="Calibri" w:hAnsi="Calibri" w:cs="Calibri" w:eastAsia="Calibri"/>
                <w:color w:val="1A1A1A"/>
                <w:sz w:val="20"/>
              </w:rPr>
              <w:t>O7</w:t>
            </w:r>
          </w:p>
        </w:tc>
        <w:tc>
          <w:tcPr>
            <w:tcW w:type="dxa" w:w="2351"/>
            <w:shd w:val="clear" w:color="auto" w:fill="EEF2F7"/>
          </w:tcPr>
          <w:p>
            <w:r>
              <w:rPr>
                <w:rFonts w:ascii="Calibri" w:hAnsi="Calibri" w:cs="Calibri" w:eastAsia="Calibri"/>
                <w:color w:val="1A1A1A"/>
                <w:sz w:val="20"/>
              </w:rPr>
              <w:t>Core / Mandatory</w:t>
            </w:r>
          </w:p>
        </w:tc>
        <w:tc>
          <w:tcPr>
            <w:tcW w:type="dxa" w:w="2351"/>
            <w:shd w:val="clear" w:color="auto" w:fill="EEF2F7"/>
          </w:tcPr>
          <w:p>
            <w:r>
              <w:rPr>
                <w:rFonts w:ascii="Calibri" w:hAnsi="Calibri" w:cs="Calibri" w:eastAsia="Calibri"/>
                <w:color w:val="1A1A1A"/>
                <w:sz w:val="20"/>
              </w:rPr>
              <w:t>Included</w:t>
            </w:r>
          </w:p>
        </w:tc>
      </w:tr>
      <w:tr>
        <w:tc>
          <w:tcPr>
            <w:tcW w:type="dxa" w:w="2351"/>
          </w:tcPr>
          <w:p>
            <w:r>
              <w:rPr>
                <w:rFonts w:ascii="Calibri" w:hAnsi="Calibri" w:cs="Calibri" w:eastAsia="Calibri"/>
                <w:color w:val="1A1A1A"/>
                <w:sz w:val="20"/>
              </w:rPr>
              <w:t>Data Pipeline Observability</w:t>
            </w:r>
          </w:p>
        </w:tc>
        <w:tc>
          <w:tcPr>
            <w:tcW w:type="dxa" w:w="2351"/>
          </w:tcPr>
          <w:p>
            <w:r>
              <w:rPr>
                <w:rFonts w:ascii="Calibri" w:hAnsi="Calibri" w:cs="Calibri" w:eastAsia="Calibri"/>
                <w:color w:val="1A1A1A"/>
                <w:sz w:val="20"/>
              </w:rPr>
              <w:t>O8</w:t>
            </w:r>
          </w:p>
        </w:tc>
        <w:tc>
          <w:tcPr>
            <w:tcW w:type="dxa" w:w="2351"/>
          </w:tcPr>
          <w:p>
            <w:r>
              <w:rPr>
                <w:rFonts w:ascii="Calibri" w:hAnsi="Calibri" w:cs="Calibri" w:eastAsia="Calibri"/>
                <w:color w:val="1A1A1A"/>
                <w:sz w:val="20"/>
              </w:rPr>
              <w:t>Extension / High Value</w:t>
            </w:r>
          </w:p>
        </w:tc>
        <w:tc>
          <w:tcPr>
            <w:tcW w:type="dxa" w:w="2351"/>
          </w:tcPr>
          <w:p>
            <w:r>
              <w:rPr>
                <w:rFonts w:ascii="Calibri" w:hAnsi="Calibri" w:cs="Calibri" w:eastAsia="Calibri"/>
                <w:color w:val="1A1A1A"/>
                <w:sz w:val="20"/>
              </w:rPr>
              <w:t>Included</w:t>
            </w:r>
          </w:p>
        </w:tc>
      </w:tr>
      <w:tr>
        <w:tc>
          <w:tcPr>
            <w:tcW w:type="dxa" w:w="2351"/>
            <w:shd w:val="clear" w:color="auto" w:fill="EEF2F7"/>
          </w:tcPr>
          <w:p>
            <w:r>
              <w:rPr>
                <w:rFonts w:ascii="Calibri" w:hAnsi="Calibri" w:cs="Calibri" w:eastAsia="Calibri"/>
                <w:color w:val="1A1A1A"/>
                <w:sz w:val="20"/>
              </w:rPr>
              <w:t>Data Product &amp; Business Dashboard Observability</w:t>
            </w:r>
          </w:p>
        </w:tc>
        <w:tc>
          <w:tcPr>
            <w:tcW w:type="dxa" w:w="2351"/>
            <w:shd w:val="clear" w:color="auto" w:fill="EEF2F7"/>
          </w:tcPr>
          <w:p>
            <w:r>
              <w:rPr>
                <w:rFonts w:ascii="Calibri" w:hAnsi="Calibri" w:cs="Calibri" w:eastAsia="Calibri"/>
                <w:color w:val="1A1A1A"/>
                <w:sz w:val="20"/>
              </w:rPr>
              <w:t>O9</w:t>
            </w:r>
          </w:p>
        </w:tc>
        <w:tc>
          <w:tcPr>
            <w:tcW w:type="dxa" w:w="2351"/>
            <w:shd w:val="clear" w:color="auto" w:fill="EEF2F7"/>
          </w:tcPr>
          <w:p>
            <w:r>
              <w:rPr>
                <w:rFonts w:ascii="Calibri" w:hAnsi="Calibri" w:cs="Calibri" w:eastAsia="Calibri"/>
                <w:color w:val="1A1A1A"/>
                <w:sz w:val="20"/>
              </w:rPr>
              <w:t>Extension / High Value</w:t>
            </w:r>
          </w:p>
        </w:tc>
        <w:tc>
          <w:tcPr>
            <w:tcW w:type="dxa" w:w="2351"/>
            <w:shd w:val="clear" w:color="auto" w:fill="EEF2F7"/>
          </w:tcPr>
          <w:p>
            <w:r>
              <w:rPr>
                <w:rFonts w:ascii="Calibri" w:hAnsi="Calibri" w:cs="Calibri" w:eastAsia="Calibri"/>
                <w:color w:val="1A1A1A"/>
                <w:sz w:val="20"/>
              </w:rPr>
              <w:t>Included</w:t>
            </w:r>
          </w:p>
        </w:tc>
      </w:tr>
      <w:tr>
        <w:tc>
          <w:tcPr>
            <w:tcW w:type="dxa" w:w="2351"/>
          </w:tcPr>
          <w:p>
            <w:r>
              <w:rPr>
                <w:rFonts w:ascii="Calibri" w:hAnsi="Calibri" w:cs="Calibri" w:eastAsia="Calibri"/>
                <w:color w:val="1A1A1A"/>
                <w:sz w:val="20"/>
              </w:rPr>
              <w:t>Tool Architecture &amp; Rationalization</w:t>
            </w:r>
          </w:p>
        </w:tc>
        <w:tc>
          <w:tcPr>
            <w:tcW w:type="dxa" w:w="2351"/>
          </w:tcPr>
          <w:p>
            <w:r>
              <w:rPr>
                <w:rFonts w:ascii="Calibri" w:hAnsi="Calibri" w:cs="Calibri" w:eastAsia="Calibri"/>
                <w:color w:val="1A1A1A"/>
                <w:sz w:val="20"/>
              </w:rPr>
              <w:t>O10</w:t>
            </w:r>
          </w:p>
        </w:tc>
        <w:tc>
          <w:tcPr>
            <w:tcW w:type="dxa" w:w="2351"/>
          </w:tcPr>
          <w:p>
            <w:r>
              <w:rPr>
                <w:rFonts w:ascii="Calibri" w:hAnsi="Calibri" w:cs="Calibri" w:eastAsia="Calibri"/>
                <w:color w:val="1A1A1A"/>
                <w:sz w:val="20"/>
              </w:rPr>
              <w:t>Extension / High Value</w:t>
            </w:r>
          </w:p>
        </w:tc>
        <w:tc>
          <w:tcPr>
            <w:tcW w:type="dxa" w:w="2351"/>
          </w:tcPr>
          <w:p>
            <w:r>
              <w:rPr>
                <w:rFonts w:ascii="Calibri" w:hAnsi="Calibri" w:cs="Calibri" w:eastAsia="Calibri"/>
                <w:color w:val="1A1A1A"/>
                <w:sz w:val="20"/>
              </w:rPr>
              <w:t>Included</w:t>
            </w:r>
          </w:p>
        </w:tc>
      </w:tr>
      <w:tr>
        <w:tc>
          <w:tcPr>
            <w:tcW w:type="dxa" w:w="2351"/>
            <w:shd w:val="clear" w:color="auto" w:fill="EEF2F7"/>
          </w:tcPr>
          <w:p>
            <w:r>
              <w:rPr>
                <w:rFonts w:ascii="Calibri" w:hAnsi="Calibri" w:cs="Calibri" w:eastAsia="Calibri"/>
                <w:color w:val="1A1A1A"/>
                <w:sz w:val="20"/>
              </w:rPr>
              <w:t>AI / GenAI &amp; LLM Observability</w:t>
            </w:r>
          </w:p>
        </w:tc>
        <w:tc>
          <w:tcPr>
            <w:tcW w:type="dxa" w:w="2351"/>
            <w:shd w:val="clear" w:color="auto" w:fill="EEF2F7"/>
          </w:tcPr>
          <w:p>
            <w:r>
              <w:rPr>
                <w:rFonts w:ascii="Calibri" w:hAnsi="Calibri" w:cs="Calibri" w:eastAsia="Calibri"/>
                <w:color w:val="1A1A1A"/>
                <w:sz w:val="20"/>
              </w:rPr>
              <w:t>O11</w:t>
            </w:r>
          </w:p>
        </w:tc>
        <w:tc>
          <w:tcPr>
            <w:tcW w:type="dxa" w:w="2351"/>
            <w:shd w:val="clear" w:color="auto" w:fill="EEF2F7"/>
          </w:tcPr>
          <w:p>
            <w:r>
              <w:rPr>
                <w:rFonts w:ascii="Calibri" w:hAnsi="Calibri" w:cs="Calibri" w:eastAsia="Calibri"/>
                <w:color w:val="1A1A1A"/>
                <w:sz w:val="20"/>
              </w:rPr>
              <w:t>Modular / Optional</w:t>
            </w:r>
          </w:p>
        </w:tc>
        <w:tc>
          <w:tcPr>
            <w:tcW w:type="dxa" w:w="2351"/>
            <w:shd w:val="clear" w:color="auto" w:fill="EEF2F7"/>
          </w:tcPr>
          <w:p>
            <w:r>
              <w:rPr>
                <w:rFonts w:ascii="Calibri" w:hAnsi="Calibri" w:cs="Calibri" w:eastAsia="Calibri"/>
                <w:color w:val="1A1A1A"/>
                <w:sz w:val="20"/>
              </w:rPr>
              <w:t>Included if AI estate present</w:t>
            </w:r>
          </w:p>
        </w:tc>
      </w:tr>
      <w:tr>
        <w:tc>
          <w:tcPr>
            <w:tcW w:type="dxa" w:w="2351"/>
          </w:tcPr>
          <w:p>
            <w:r>
              <w:rPr>
                <w:rFonts w:ascii="Calibri" w:hAnsi="Calibri" w:cs="Calibri" w:eastAsia="Calibri"/>
                <w:color w:val="1A1A1A"/>
                <w:sz w:val="20"/>
              </w:rPr>
              <w:t>Carbon &amp; Sustainability Observability</w:t>
            </w:r>
          </w:p>
        </w:tc>
        <w:tc>
          <w:tcPr>
            <w:tcW w:type="dxa" w:w="2351"/>
          </w:tcPr>
          <w:p>
            <w:r>
              <w:rPr>
                <w:rFonts w:ascii="Calibri" w:hAnsi="Calibri" w:cs="Calibri" w:eastAsia="Calibri"/>
                <w:color w:val="1A1A1A"/>
                <w:sz w:val="20"/>
              </w:rPr>
              <w:t>O12</w:t>
            </w:r>
          </w:p>
        </w:tc>
        <w:tc>
          <w:tcPr>
            <w:tcW w:type="dxa" w:w="2351"/>
          </w:tcPr>
          <w:p>
            <w:r>
              <w:rPr>
                <w:rFonts w:ascii="Calibri" w:hAnsi="Calibri" w:cs="Calibri" w:eastAsia="Calibri"/>
                <w:color w:val="1A1A1A"/>
                <w:sz w:val="20"/>
              </w:rPr>
              <w:t>Reserved / Modular</w:t>
            </w:r>
          </w:p>
        </w:tc>
        <w:tc>
          <w:tcPr>
            <w:tcW w:type="dxa" w:w="2351"/>
          </w:tcPr>
          <w:p>
            <w:r>
              <w:rPr>
                <w:rFonts w:ascii="Calibri" w:hAnsi="Calibri" w:cs="Calibri" w:eastAsia="Calibri"/>
                <w:color w:val="1A1A1A"/>
                <w:sz w:val="20"/>
              </w:rPr>
              <w:t>Included if sustainability KPI required</w:t>
            </w:r>
          </w:p>
        </w:tc>
      </w:tr>
    </w:tbl>
    <w:p/>
    <w:p>
      <w:pPr>
        <w:pStyle w:val="ListBullet"/>
        <w:ind w:left="360"/>
      </w:pPr>
      <w:r>
        <w:rPr>
          <w:rFonts w:ascii="Calibri" w:hAnsi="Calibri" w:cs="Calibri" w:eastAsia="Calibri"/>
          <w:color w:val="1A1A1A"/>
          <w:sz w:val="22"/>
        </w:rPr>
        <w:t>Application estate: Broader enterprise estate - multi-cloud, hybrid, and legacy services eligible</w:t>
      </w:r>
    </w:p>
    <w:p>
      <w:pPr>
        <w:pStyle w:val="ListBullet"/>
        <w:ind w:left="360"/>
      </w:pPr>
      <w:r>
        <w:rPr>
          <w:rFonts w:ascii="Calibri" w:hAnsi="Calibri" w:cs="Calibri" w:eastAsia="Calibri"/>
          <w:color w:val="1A1A1A"/>
          <w:sz w:val="22"/>
        </w:rPr>
        <w:t>Tool rationalization: Full 5-step methodology included (O10)</w:t>
      </w:r>
    </w:p>
    <w:p>
      <w:pPr>
        <w:pStyle w:val="ListBullet"/>
        <w:ind w:left="360"/>
      </w:pPr>
      <w:r>
        <w:rPr>
          <w:rFonts w:ascii="Calibri" w:hAnsi="Calibri" w:cs="Calibri" w:eastAsia="Calibri"/>
          <w:color w:val="1A1A1A"/>
          <w:sz w:val="22"/>
        </w:rPr>
        <w:t>Data observability (O8, O9): Data pipelines and data product dashboards assessed</w:t>
      </w:r>
    </w:p>
    <w:p>
      <w:pPr>
        <w:pStyle w:val="ListBullet"/>
        <w:ind w:left="360"/>
      </w:pPr>
      <w:r>
        <w:rPr>
          <w:rFonts w:ascii="Calibri" w:hAnsi="Calibri" w:cs="Calibri" w:eastAsia="Calibri"/>
          <w:color w:val="1A1A1A"/>
          <w:sz w:val="22"/>
        </w:rPr>
        <w:t>Maturity scale: Vithi evidence-based maturity scale (Levels 1-5) across all 13 dimensions</w:t>
      </w:r>
    </w:p>
    <w:p>
      <w:pPr>
        <w:pStyle w:val="ListBullet"/>
        <w:ind w:left="360"/>
      </w:pPr>
      <w:r>
        <w:rPr>
          <w:rFonts w:ascii="Calibri" w:hAnsi="Calibri" w:cs="Calibri" w:eastAsia="Calibri"/>
          <w:color w:val="1A1A1A"/>
          <w:sz w:val="22"/>
        </w:rPr>
        <w:t>Business value modelling: Included - Illustrative Value Blueprint produced (see Section 5)</w:t>
      </w:r>
    </w:p>
    <w:p>
      <w:pPr>
        <w:pStyle w:val="ListBullet"/>
        <w:ind w:left="360"/>
      </w:pPr>
      <w:r>
        <w:rPr>
          <w:rFonts w:ascii="Calibri" w:hAnsi="Calibri" w:cs="Calibri" w:eastAsia="Calibri"/>
          <w:color w:val="1A1A1A"/>
          <w:sz w:val="22"/>
        </w:rPr>
        <w:t>Stakeholder validation workshops: Included - Week 4 sign-off</w:t>
      </w:r>
    </w:p>
    <w:p>
      <w:r>
        <w:rPr>
          <w:rFonts w:ascii="Calibri" w:hAnsi="Calibri" w:cs="Calibri" w:eastAsia="Calibri"/>
          <w:i/>
          <w:color w:val="1A1A1A"/>
          <w:sz w:val="22"/>
        </w:rPr>
        <w:t>Note: O11 and O12 coverage confirmed at kick-off based on whether the customer operates an AI/ML estate or has active sustainability reporting obligations.</w:t>
      </w:r>
    </w:p>
    <w:p>
      <w:pPr>
        <w:pBdr>
          <w:bottom w:val="single" w:sz="6" w:space="1" w:color="AAAAAA"/>
        </w:pBdr>
      </w:pPr>
    </w:p>
    <w:p>
      <w:pPr>
        <w:spacing w:before="280" w:after="80"/>
      </w:pPr>
      <w:r>
        <w:rPr>
          <w:rFonts w:ascii="Calibri" w:hAnsi="Calibri" w:cs="Calibri" w:eastAsia="Calibri"/>
          <w:b/>
          <w:color w:val="1A1A1A"/>
          <w:sz w:val="22"/>
        </w:rPr>
        <w:t>Section 2: Customer Participants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7375E"/>
          </w:tcPr>
          <w:p>
            <w:r>
              <w:rPr>
                <w:rFonts w:ascii="Calibri" w:hAnsi="Calibri" w:cs="Calibri" w:eastAsia="Calibri"/>
                <w:b/>
                <w:color w:val="FFFFFF"/>
                <w:sz w:val="20"/>
              </w:rPr>
              <w:t>Role</w:t>
            </w:r>
          </w:p>
        </w:tc>
        <w:tc>
          <w:tcPr>
            <w:tcW w:type="dxa" w:w="3135"/>
            <w:shd w:val="clear" w:color="auto" w:fill="17375E"/>
          </w:tcPr>
          <w:p>
            <w:r>
              <w:rPr>
                <w:rFonts w:ascii="Calibri" w:hAnsi="Calibri" w:cs="Calibri" w:eastAsia="Calibri"/>
                <w:b/>
                <w:color w:val="FFFFFF"/>
                <w:sz w:val="20"/>
              </w:rPr>
              <w:t>Mandatory / Optional</w:t>
            </w:r>
          </w:p>
        </w:tc>
        <w:tc>
          <w:tcPr>
            <w:tcW w:type="dxa" w:w="3135"/>
            <w:shd w:val="clear" w:color="auto" w:fill="17375E"/>
          </w:tcPr>
          <w:p>
            <w:r>
              <w:rPr>
                <w:rFonts w:ascii="Calibri" w:hAnsi="Calibri" w:cs="Calibri" w:eastAsia="Calibri"/>
                <w:b/>
                <w:color w:val="FFFFFF"/>
                <w:sz w:val="20"/>
              </w:rPr>
              <w:t>Estimated Time Commitment</w:t>
            </w:r>
          </w:p>
        </w:tc>
      </w:tr>
      <w:tr>
        <w:tc>
          <w:tcPr>
            <w:tcW w:type="dxa" w:w="3135"/>
          </w:tcPr>
          <w:p>
            <w:r>
              <w:rPr>
                <w:rFonts w:ascii="Calibri" w:hAnsi="Calibri" w:cs="Calibri" w:eastAsia="Calibri"/>
                <w:color w:val="1A1A1A"/>
                <w:sz w:val="20"/>
              </w:rPr>
              <w:t>Platform Lead / SRE Lead</w:t>
            </w:r>
          </w:p>
        </w:tc>
        <w:tc>
          <w:tcPr>
            <w:tcW w:type="dxa" w:w="3135"/>
          </w:tcPr>
          <w:p>
            <w:r>
              <w:rPr>
                <w:rFonts w:ascii="Calibri" w:hAnsi="Calibri" w:cs="Calibri" w:eastAsia="Calibri"/>
                <w:color w:val="1A1A1A"/>
                <w:sz w:val="20"/>
              </w:rPr>
              <w:t>Mandatory</w:t>
            </w:r>
          </w:p>
        </w:tc>
        <w:tc>
          <w:tcPr>
            <w:tcW w:type="dxa" w:w="3135"/>
          </w:tcPr>
          <w:p>
            <w:r>
              <w:rPr>
                <w:rFonts w:ascii="Calibri" w:hAnsi="Calibri" w:cs="Calibri" w:eastAsia="Calibri"/>
                <w:color w:val="1A1A1A"/>
                <w:sz w:val="20"/>
              </w:rPr>
              <w:t>8-10 hours across 4 weeks</w:t>
            </w:r>
          </w:p>
        </w:tc>
      </w:tr>
      <w:tr>
        <w:tc>
          <w:tcPr>
            <w:tcW w:type="dxa" w:w="3135"/>
            <w:shd w:val="clear" w:color="auto" w:fill="EEF2F7"/>
          </w:tcPr>
          <w:p>
            <w:r>
              <w:rPr>
                <w:rFonts w:ascii="Calibri" w:hAnsi="Calibri" w:cs="Calibri" w:eastAsia="Calibri"/>
                <w:color w:val="1A1A1A"/>
                <w:sz w:val="20"/>
              </w:rPr>
              <w:t>Platform Architect</w:t>
            </w:r>
          </w:p>
        </w:tc>
        <w:tc>
          <w:tcPr>
            <w:tcW w:type="dxa" w:w="3135"/>
            <w:shd w:val="clear" w:color="auto" w:fill="EEF2F7"/>
          </w:tcPr>
          <w:p>
            <w:r>
              <w:rPr>
                <w:rFonts w:ascii="Calibri" w:hAnsi="Calibri" w:cs="Calibri" w:eastAsia="Calibri"/>
                <w:color w:val="1A1A1A"/>
                <w:sz w:val="20"/>
              </w:rPr>
              <w:t>Mandatory</w:t>
            </w:r>
          </w:p>
        </w:tc>
        <w:tc>
          <w:tcPr>
            <w:tcW w:type="dxa" w:w="3135"/>
            <w:shd w:val="clear" w:color="auto" w:fill="EEF2F7"/>
          </w:tcPr>
          <w:p>
            <w:r>
              <w:rPr>
                <w:rFonts w:ascii="Calibri" w:hAnsi="Calibri" w:cs="Calibri" w:eastAsia="Calibri"/>
                <w:color w:val="1A1A1A"/>
                <w:sz w:val="20"/>
              </w:rPr>
              <w:t>4-6 hours (Weeks 1-3)</w:t>
            </w:r>
          </w:p>
        </w:tc>
      </w:tr>
      <w:tr>
        <w:tc>
          <w:tcPr>
            <w:tcW w:type="dxa" w:w="3135"/>
          </w:tcPr>
          <w:p>
            <w:r>
              <w:rPr>
                <w:rFonts w:ascii="Calibri" w:hAnsi="Calibri" w:cs="Calibri" w:eastAsia="Calibri"/>
                <w:color w:val="1A1A1A"/>
                <w:sz w:val="20"/>
              </w:rPr>
              <w:t>Engineering Manager / Dev Leads</w:t>
            </w:r>
          </w:p>
        </w:tc>
        <w:tc>
          <w:tcPr>
            <w:tcW w:type="dxa" w:w="3135"/>
          </w:tcPr>
          <w:p>
            <w:r>
              <w:rPr>
                <w:rFonts w:ascii="Calibri" w:hAnsi="Calibri" w:cs="Calibri" w:eastAsia="Calibri"/>
                <w:color w:val="1A1A1A"/>
                <w:sz w:val="20"/>
              </w:rPr>
              <w:t>Mandatory</w:t>
            </w:r>
          </w:p>
        </w:tc>
        <w:tc>
          <w:tcPr>
            <w:tcW w:type="dxa" w:w="3135"/>
          </w:tcPr>
          <w:p>
            <w:r>
              <w:rPr>
                <w:rFonts w:ascii="Calibri" w:hAnsi="Calibri" w:cs="Calibri" w:eastAsia="Calibri"/>
                <w:color w:val="1A1A1A"/>
                <w:sz w:val="20"/>
              </w:rPr>
              <w:t>4-5 hours (workshops + readout)</w:t>
            </w:r>
          </w:p>
        </w:tc>
      </w:tr>
      <w:tr>
        <w:tc>
          <w:tcPr>
            <w:tcW w:type="dxa" w:w="3135"/>
            <w:shd w:val="clear" w:color="auto" w:fill="EEF2F7"/>
          </w:tcPr>
          <w:p>
            <w:r>
              <w:rPr>
                <w:rFonts w:ascii="Calibri" w:hAnsi="Calibri" w:cs="Calibri" w:eastAsia="Calibri"/>
                <w:color w:val="1A1A1A"/>
                <w:sz w:val="20"/>
              </w:rPr>
              <w:t>FinOps / Cloud Cost Owner</w:t>
            </w:r>
          </w:p>
        </w:tc>
        <w:tc>
          <w:tcPr>
            <w:tcW w:type="dxa" w:w="3135"/>
            <w:shd w:val="clear" w:color="auto" w:fill="EEF2F7"/>
          </w:tcPr>
          <w:p>
            <w:r>
              <w:rPr>
                <w:rFonts w:ascii="Calibri" w:hAnsi="Calibri" w:cs="Calibri" w:eastAsia="Calibri"/>
                <w:color w:val="1A1A1A"/>
                <w:sz w:val="20"/>
              </w:rPr>
              <w:t>Mandatory</w:t>
            </w:r>
          </w:p>
        </w:tc>
        <w:tc>
          <w:tcPr>
            <w:tcW w:type="dxa" w:w="3135"/>
            <w:shd w:val="clear" w:color="auto" w:fill="EEF2F7"/>
          </w:tcPr>
          <w:p>
            <w:r>
              <w:rPr>
                <w:rFonts w:ascii="Calibri" w:hAnsi="Calibri" w:cs="Calibri" w:eastAsia="Calibri"/>
                <w:color w:val="1A1A1A"/>
                <w:sz w:val="20"/>
              </w:rPr>
              <w:t>2-3 hours (O7, O10 sessions)</w:t>
            </w:r>
          </w:p>
        </w:tc>
      </w:tr>
      <w:tr>
        <w:tc>
          <w:tcPr>
            <w:tcW w:type="dxa" w:w="3135"/>
          </w:tcPr>
          <w:p>
            <w:r>
              <w:rPr>
                <w:rFonts w:ascii="Calibri" w:hAnsi="Calibri" w:cs="Calibri" w:eastAsia="Calibri"/>
                <w:color w:val="1A1A1A"/>
                <w:sz w:val="20"/>
              </w:rPr>
              <w:t>Exec Sponsor / Business Stakeholder</w:t>
            </w:r>
          </w:p>
        </w:tc>
        <w:tc>
          <w:tcPr>
            <w:tcW w:type="dxa" w:w="3135"/>
          </w:tcPr>
          <w:p>
            <w:r>
              <w:rPr>
                <w:rFonts w:ascii="Calibri" w:hAnsi="Calibri" w:cs="Calibri" w:eastAsia="Calibri"/>
                <w:color w:val="1A1A1A"/>
                <w:sz w:val="20"/>
              </w:rPr>
              <w:t>Mandatory</w:t>
            </w:r>
          </w:p>
        </w:tc>
        <w:tc>
          <w:tcPr>
            <w:tcW w:type="dxa" w:w="3135"/>
          </w:tcPr>
          <w:p>
            <w:r>
              <w:rPr>
                <w:rFonts w:ascii="Calibri" w:hAnsi="Calibri" w:cs="Calibri" w:eastAsia="Calibri"/>
                <w:color w:val="1A1A1A"/>
                <w:sz w:val="20"/>
              </w:rPr>
              <w:t>2 hours (value model sign-off + readout)</w:t>
            </w:r>
          </w:p>
        </w:tc>
      </w:tr>
      <w:tr>
        <w:tc>
          <w:tcPr>
            <w:tcW w:type="dxa" w:w="3135"/>
            <w:shd w:val="clear" w:color="auto" w:fill="EEF2F7"/>
          </w:tcPr>
          <w:p>
            <w:r>
              <w:rPr>
                <w:rFonts w:ascii="Calibri" w:hAnsi="Calibri" w:cs="Calibri" w:eastAsia="Calibri"/>
                <w:color w:val="1A1A1A"/>
                <w:sz w:val="20"/>
              </w:rPr>
              <w:t>Data Platform Lead</w:t>
            </w:r>
          </w:p>
        </w:tc>
        <w:tc>
          <w:tcPr>
            <w:tcW w:type="dxa" w:w="3135"/>
            <w:shd w:val="clear" w:color="auto" w:fill="EEF2F7"/>
          </w:tcPr>
          <w:p>
            <w:r>
              <w:rPr>
                <w:rFonts w:ascii="Calibri" w:hAnsi="Calibri" w:cs="Calibri" w:eastAsia="Calibri"/>
                <w:color w:val="1A1A1A"/>
                <w:sz w:val="20"/>
              </w:rPr>
              <w:t>Recommended</w:t>
            </w:r>
          </w:p>
        </w:tc>
        <w:tc>
          <w:tcPr>
            <w:tcW w:type="dxa" w:w="3135"/>
            <w:shd w:val="clear" w:color="auto" w:fill="EEF2F7"/>
          </w:tcPr>
          <w:p>
            <w:r>
              <w:rPr>
                <w:rFonts w:ascii="Calibri" w:hAnsi="Calibri" w:cs="Calibri" w:eastAsia="Calibri"/>
                <w:color w:val="1A1A1A"/>
                <w:sz w:val="20"/>
              </w:rPr>
              <w:t>3-4 hours (O8, O9 sessions)</w:t>
            </w:r>
          </w:p>
        </w:tc>
      </w:tr>
      <w:tr>
        <w:tc>
          <w:tcPr>
            <w:tcW w:type="dxa" w:w="3135"/>
          </w:tcPr>
          <w:p>
            <w:r>
              <w:rPr>
                <w:rFonts w:ascii="Calibri" w:hAnsi="Calibri" w:cs="Calibri" w:eastAsia="Calibri"/>
                <w:color w:val="1A1A1A"/>
                <w:sz w:val="20"/>
              </w:rPr>
              <w:t>Security / Compliance Lead</w:t>
            </w:r>
          </w:p>
        </w:tc>
        <w:tc>
          <w:tcPr>
            <w:tcW w:type="dxa" w:w="3135"/>
          </w:tcPr>
          <w:p>
            <w:r>
              <w:rPr>
                <w:rFonts w:ascii="Calibri" w:hAnsi="Calibri" w:cs="Calibri" w:eastAsia="Calibri"/>
                <w:color w:val="1A1A1A"/>
                <w:sz w:val="20"/>
              </w:rPr>
              <w:t>Recommended</w:t>
            </w:r>
          </w:p>
        </w:tc>
        <w:tc>
          <w:tcPr>
            <w:tcW w:type="dxa" w:w="3135"/>
          </w:tcPr>
          <w:p>
            <w:r>
              <w:rPr>
                <w:rFonts w:ascii="Calibri" w:hAnsi="Calibri" w:cs="Calibri" w:eastAsia="Calibri"/>
                <w:color w:val="1A1A1A"/>
                <w:sz w:val="20"/>
              </w:rPr>
              <w:t>1-2 hours (O7 audit governance session)</w:t>
            </w:r>
          </w:p>
        </w:tc>
      </w:tr>
      <w:tr>
        <w:tc>
          <w:tcPr>
            <w:tcW w:type="dxa" w:w="3135"/>
            <w:shd w:val="clear" w:color="auto" w:fill="EEF2F7"/>
          </w:tcPr>
          <w:p>
            <w:r>
              <w:rPr>
                <w:rFonts w:ascii="Calibri" w:hAnsi="Calibri" w:cs="Calibri" w:eastAsia="Calibri"/>
                <w:color w:val="1A1A1A"/>
                <w:sz w:val="20"/>
              </w:rPr>
              <w:t>AI / ML Platform Lead</w:t>
            </w:r>
          </w:p>
        </w:tc>
        <w:tc>
          <w:tcPr>
            <w:tcW w:type="dxa" w:w="3135"/>
            <w:shd w:val="clear" w:color="auto" w:fill="EEF2F7"/>
          </w:tcPr>
          <w:p>
            <w:r>
              <w:rPr>
                <w:rFonts w:ascii="Calibri" w:hAnsi="Calibri" w:cs="Calibri" w:eastAsia="Calibri"/>
                <w:color w:val="1A1A1A"/>
                <w:sz w:val="20"/>
              </w:rPr>
              <w:t>Optional</w:t>
            </w:r>
          </w:p>
        </w:tc>
        <w:tc>
          <w:tcPr>
            <w:tcW w:type="dxa" w:w="3135"/>
            <w:shd w:val="clear" w:color="auto" w:fill="EEF2F7"/>
          </w:tcPr>
          <w:p>
            <w:r>
              <w:rPr>
                <w:rFonts w:ascii="Calibri" w:hAnsi="Calibri" w:cs="Calibri" w:eastAsia="Calibri"/>
                <w:color w:val="1A1A1A"/>
                <w:sz w:val="20"/>
              </w:rPr>
              <w:t>1-2 hours (O11 session, if applicable)</w:t>
            </w:r>
          </w:p>
        </w:tc>
      </w:tr>
    </w:tbl>
    <w:p/>
    <w:p>
      <w:pPr>
        <w:pStyle w:val="ListBullet"/>
        <w:ind w:left="360"/>
      </w:pPr>
      <w:r>
        <w:rPr>
          <w:rFonts w:ascii="Calibri" w:hAnsi="Calibri" w:cs="Calibri" w:eastAsia="Calibri"/>
          <w:color w:val="1A1A1A"/>
          <w:sz w:val="22"/>
        </w:rPr>
        <w:t>Total customer time investment: approximately 20-25 hours across 4 weeks</w:t>
      </w:r>
    </w:p>
    <w:p>
      <w:pPr>
        <w:pStyle w:val="ListBullet"/>
        <w:ind w:left="360"/>
      </w:pPr>
      <w:r>
        <w:rPr>
          <w:rFonts w:ascii="Calibri" w:hAnsi="Calibri" w:cs="Calibri" w:eastAsia="Calibri"/>
          <w:color w:val="1A1A1A"/>
          <w:sz w:val="22"/>
        </w:rPr>
        <w:t>Workshop sessions are structured - no continuous war-room presence required</w:t>
      </w:r>
    </w:p>
    <w:p>
      <w:pPr>
        <w:pStyle w:val="ListBullet"/>
        <w:ind w:left="360"/>
      </w:pPr>
      <w:r>
        <w:rPr>
          <w:rFonts w:ascii="Calibri" w:hAnsi="Calibri" w:cs="Calibri" w:eastAsia="Calibri"/>
          <w:color w:val="1A1A1A"/>
          <w:sz w:val="22"/>
        </w:rPr>
        <w:t>All sessions can be conducted remotely; on-site option available by mutual agreement</w:t>
      </w:r>
    </w:p>
    <w:p>
      <w:r>
        <w:rPr>
          <w:rFonts w:ascii="Calibri" w:hAnsi="Calibri" w:cs="Calibri" w:eastAsia="Calibri"/>
          <w:i/>
          <w:color w:val="1A1A1A"/>
          <w:sz w:val="22"/>
        </w:rPr>
        <w:t>Note: Participant availability confirmed during Pre-Discovery Intake. Key stakeholder absences must be flagged at kick-off so alternative coverage is agreed.</w:t>
      </w:r>
    </w:p>
    <w:p>
      <w:pPr>
        <w:pBdr>
          <w:bottom w:val="single" w:sz="6" w:space="1" w:color="AAAAAA"/>
        </w:pBdr>
      </w:pPr>
    </w:p>
    <w:p>
      <w:pPr>
        <w:spacing w:before="280" w:after="80"/>
      </w:pPr>
      <w:r>
        <w:rPr>
          <w:rFonts w:ascii="Calibri" w:hAnsi="Calibri" w:cs="Calibri" w:eastAsia="Calibri"/>
          <w:b/>
          <w:color w:val="1A1A1A"/>
          <w:sz w:val="22"/>
        </w:rPr>
        <w:t>Section 3: Evidence Needed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75B6"/>
          </w:tcPr>
          <w:p>
            <w:r>
              <w:rPr>
                <w:rFonts w:ascii="Calibri" w:hAnsi="Calibri" w:cs="Calibri" w:eastAsia="Calibri"/>
                <w:b/>
                <w:color w:val="FFFFFF"/>
                <w:sz w:val="20"/>
              </w:rPr>
              <w:t>Evidence ID</w:t>
            </w:r>
          </w:p>
        </w:tc>
        <w:tc>
          <w:tcPr>
            <w:tcW w:type="dxa" w:w="2351"/>
            <w:shd w:val="clear" w:color="auto" w:fill="2E75B6"/>
          </w:tcPr>
          <w:p>
            <w:r>
              <w:rPr>
                <w:rFonts w:ascii="Calibri" w:hAnsi="Calibri" w:cs="Calibri" w:eastAsia="Calibri"/>
                <w:b/>
                <w:color w:val="FFFFFF"/>
                <w:sz w:val="20"/>
              </w:rPr>
              <w:t>Evidence Artifact</w:t>
            </w:r>
          </w:p>
        </w:tc>
        <w:tc>
          <w:tcPr>
            <w:tcW w:type="dxa" w:w="2351"/>
            <w:shd w:val="clear" w:color="auto" w:fill="2E75B6"/>
          </w:tcPr>
          <w:p>
            <w:r>
              <w:rPr>
                <w:rFonts w:ascii="Calibri" w:hAnsi="Calibri" w:cs="Calibri" w:eastAsia="Calibri"/>
                <w:b/>
                <w:color w:val="FFFFFF"/>
                <w:sz w:val="20"/>
              </w:rPr>
              <w:t>Format / Source</w:t>
            </w:r>
          </w:p>
        </w:tc>
        <w:tc>
          <w:tcPr>
            <w:tcW w:type="dxa" w:w="2351"/>
            <w:shd w:val="clear" w:color="auto" w:fill="2E75B6"/>
          </w:tcPr>
          <w:p>
            <w:r>
              <w:rPr>
                <w:rFonts w:ascii="Calibri" w:hAnsi="Calibri" w:cs="Calibri" w:eastAsia="Calibri"/>
                <w:b/>
                <w:color w:val="FFFFFF"/>
                <w:sz w:val="20"/>
              </w:rPr>
              <w:t>Required By</w:t>
            </w:r>
          </w:p>
        </w:tc>
      </w:tr>
      <w:tr>
        <w:tc>
          <w:tcPr>
            <w:tcW w:type="dxa" w:w="2351"/>
          </w:tcPr>
          <w:p>
            <w:r>
              <w:rPr>
                <w:rFonts w:ascii="Calibri" w:hAnsi="Calibri" w:cs="Calibri" w:eastAsia="Calibri"/>
                <w:color w:val="1A1A1A"/>
                <w:sz w:val="20"/>
              </w:rPr>
              <w:t>EV01</w:t>
            </w:r>
          </w:p>
        </w:tc>
        <w:tc>
          <w:tcPr>
            <w:tcW w:type="dxa" w:w="2351"/>
          </w:tcPr>
          <w:p>
            <w:r>
              <w:rPr>
                <w:rFonts w:ascii="Calibri" w:hAnsi="Calibri" w:cs="Calibri" w:eastAsia="Calibri"/>
                <w:color w:val="1A1A1A"/>
                <w:sz w:val="20"/>
              </w:rPr>
              <w:t>Observability &amp; SLA Policy / Strategy Doc</w:t>
            </w:r>
          </w:p>
        </w:tc>
        <w:tc>
          <w:tcPr>
            <w:tcW w:type="dxa" w:w="2351"/>
          </w:tcPr>
          <w:p>
            <w:r>
              <w:rPr>
                <w:rFonts w:ascii="Calibri" w:hAnsi="Calibri" w:cs="Calibri" w:eastAsia="Calibri"/>
                <w:color w:val="1A1A1A"/>
                <w:sz w:val="20"/>
              </w:rPr>
              <w:t>PDF / Confluence / Wiki</w:t>
            </w:r>
          </w:p>
        </w:tc>
        <w:tc>
          <w:tcPr>
            <w:tcW w:type="dxa" w:w="2351"/>
          </w:tcPr>
          <w:p>
            <w:r>
              <w:rPr>
                <w:rFonts w:ascii="Calibri" w:hAnsi="Calibri" w:cs="Calibri" w:eastAsia="Calibri"/>
                <w:color w:val="1A1A1A"/>
                <w:sz w:val="20"/>
              </w:rPr>
              <w:t>Week 1, Day 2</w:t>
            </w:r>
          </w:p>
        </w:tc>
      </w:tr>
      <w:tr>
        <w:tc>
          <w:tcPr>
            <w:tcW w:type="dxa" w:w="2351"/>
            <w:shd w:val="clear" w:color="auto" w:fill="EEF2F7"/>
          </w:tcPr>
          <w:p>
            <w:r>
              <w:rPr>
                <w:rFonts w:ascii="Calibri" w:hAnsi="Calibri" w:cs="Calibri" w:eastAsia="Calibri"/>
                <w:color w:val="1A1A1A"/>
                <w:sz w:val="20"/>
              </w:rPr>
              <w:t>EV02</w:t>
            </w:r>
          </w:p>
        </w:tc>
        <w:tc>
          <w:tcPr>
            <w:tcW w:type="dxa" w:w="2351"/>
            <w:shd w:val="clear" w:color="auto" w:fill="EEF2F7"/>
          </w:tcPr>
          <w:p>
            <w:r>
              <w:rPr>
                <w:rFonts w:ascii="Calibri" w:hAnsi="Calibri" w:cs="Calibri" w:eastAsia="Calibri"/>
                <w:color w:val="1A1A1A"/>
                <w:sz w:val="20"/>
              </w:rPr>
              <w:t>Service Catalogue / Tier-1 &amp; Tier-2 Application List</w:t>
            </w:r>
          </w:p>
        </w:tc>
        <w:tc>
          <w:tcPr>
            <w:tcW w:type="dxa" w:w="2351"/>
            <w:shd w:val="clear" w:color="auto" w:fill="EEF2F7"/>
          </w:tcPr>
          <w:p>
            <w:r>
              <w:rPr>
                <w:rFonts w:ascii="Calibri" w:hAnsi="Calibri" w:cs="Calibri" w:eastAsia="Calibri"/>
                <w:color w:val="1A1A1A"/>
                <w:sz w:val="20"/>
              </w:rPr>
              <w:t>Spreadsheet / CMDB export</w:t>
            </w:r>
          </w:p>
        </w:tc>
        <w:tc>
          <w:tcPr>
            <w:tcW w:type="dxa" w:w="2351"/>
            <w:shd w:val="clear" w:color="auto" w:fill="EEF2F7"/>
          </w:tcPr>
          <w:p>
            <w:r>
              <w:rPr>
                <w:rFonts w:ascii="Calibri" w:hAnsi="Calibri" w:cs="Calibri" w:eastAsia="Calibri"/>
                <w:color w:val="1A1A1A"/>
                <w:sz w:val="20"/>
              </w:rPr>
              <w:t>Week 1, Day 2</w:t>
            </w:r>
          </w:p>
        </w:tc>
      </w:tr>
      <w:tr>
        <w:tc>
          <w:tcPr>
            <w:tcW w:type="dxa" w:w="2351"/>
          </w:tcPr>
          <w:p>
            <w:r>
              <w:rPr>
                <w:rFonts w:ascii="Calibri" w:hAnsi="Calibri" w:cs="Calibri" w:eastAsia="Calibri"/>
                <w:color w:val="1A1A1A"/>
                <w:sz w:val="20"/>
              </w:rPr>
              <w:t>EV03</w:t>
            </w:r>
          </w:p>
        </w:tc>
        <w:tc>
          <w:tcPr>
            <w:tcW w:type="dxa" w:w="2351"/>
          </w:tcPr>
          <w:p>
            <w:r>
              <w:rPr>
                <w:rFonts w:ascii="Calibri" w:hAnsi="Calibri" w:cs="Calibri" w:eastAsia="Calibri"/>
                <w:color w:val="1A1A1A"/>
                <w:sz w:val="20"/>
              </w:rPr>
              <w:t>Telemetry Agent Config &amp; Coverage Report</w:t>
            </w:r>
          </w:p>
        </w:tc>
        <w:tc>
          <w:tcPr>
            <w:tcW w:type="dxa" w:w="2351"/>
          </w:tcPr>
          <w:p>
            <w:r>
              <w:rPr>
                <w:rFonts w:ascii="Calibri" w:hAnsi="Calibri" w:cs="Calibri" w:eastAsia="Calibri"/>
                <w:color w:val="1A1A1A"/>
                <w:sz w:val="20"/>
              </w:rPr>
              <w:t>YAML / Terraform / Screenshot</w:t>
            </w:r>
          </w:p>
        </w:tc>
        <w:tc>
          <w:tcPr>
            <w:tcW w:type="dxa" w:w="2351"/>
          </w:tcPr>
          <w:p>
            <w:r>
              <w:rPr>
                <w:rFonts w:ascii="Calibri" w:hAnsi="Calibri" w:cs="Calibri" w:eastAsia="Calibri"/>
                <w:color w:val="1A1A1A"/>
                <w:sz w:val="20"/>
              </w:rPr>
              <w:t>Week 1, Day 3</w:t>
            </w:r>
          </w:p>
        </w:tc>
      </w:tr>
      <w:tr>
        <w:tc>
          <w:tcPr>
            <w:tcW w:type="dxa" w:w="2351"/>
            <w:shd w:val="clear" w:color="auto" w:fill="EEF2F7"/>
          </w:tcPr>
          <w:p>
            <w:r>
              <w:rPr>
                <w:rFonts w:ascii="Calibri" w:hAnsi="Calibri" w:cs="Calibri" w:eastAsia="Calibri"/>
                <w:color w:val="1A1A1A"/>
                <w:sz w:val="20"/>
              </w:rPr>
              <w:t>EV04</w:t>
            </w:r>
          </w:p>
        </w:tc>
        <w:tc>
          <w:tcPr>
            <w:tcW w:type="dxa" w:w="2351"/>
            <w:shd w:val="clear" w:color="auto" w:fill="EEF2F7"/>
          </w:tcPr>
          <w:p>
            <w:r>
              <w:rPr>
                <w:rFonts w:ascii="Calibri" w:hAnsi="Calibri" w:cs="Calibri" w:eastAsia="Calibri"/>
                <w:color w:val="1A1A1A"/>
                <w:sz w:val="20"/>
              </w:rPr>
              <w:t>Incident Log (last 90 days)</w:t>
            </w:r>
          </w:p>
        </w:tc>
        <w:tc>
          <w:tcPr>
            <w:tcW w:type="dxa" w:w="2351"/>
            <w:shd w:val="clear" w:color="auto" w:fill="EEF2F7"/>
          </w:tcPr>
          <w:p>
            <w:r>
              <w:rPr>
                <w:rFonts w:ascii="Calibri" w:hAnsi="Calibri" w:cs="Calibri" w:eastAsia="Calibri"/>
                <w:color w:val="1A1A1A"/>
                <w:sz w:val="20"/>
              </w:rPr>
              <w:t>JIRA / PagerDuty export</w:t>
            </w:r>
          </w:p>
        </w:tc>
        <w:tc>
          <w:tcPr>
            <w:tcW w:type="dxa" w:w="2351"/>
            <w:shd w:val="clear" w:color="auto" w:fill="EEF2F7"/>
          </w:tcPr>
          <w:p>
            <w:r>
              <w:rPr>
                <w:rFonts w:ascii="Calibri" w:hAnsi="Calibri" w:cs="Calibri" w:eastAsia="Calibri"/>
                <w:color w:val="1A1A1A"/>
                <w:sz w:val="20"/>
              </w:rPr>
              <w:t>Week 1, Day 3</w:t>
            </w:r>
          </w:p>
        </w:tc>
      </w:tr>
      <w:tr>
        <w:tc>
          <w:tcPr>
            <w:tcW w:type="dxa" w:w="2351"/>
          </w:tcPr>
          <w:p>
            <w:r>
              <w:rPr>
                <w:rFonts w:ascii="Calibri" w:hAnsi="Calibri" w:cs="Calibri" w:eastAsia="Calibri"/>
                <w:color w:val="1A1A1A"/>
                <w:sz w:val="20"/>
              </w:rPr>
              <w:t>EV05</w:t>
            </w:r>
          </w:p>
        </w:tc>
        <w:tc>
          <w:tcPr>
            <w:tcW w:type="dxa" w:w="2351"/>
          </w:tcPr>
          <w:p>
            <w:r>
              <w:rPr>
                <w:rFonts w:ascii="Calibri" w:hAnsi="Calibri" w:cs="Calibri" w:eastAsia="Calibri"/>
                <w:color w:val="1A1A1A"/>
                <w:sz w:val="20"/>
              </w:rPr>
              <w:t>Alerting Runbooks &amp; Escalation Routing</w:t>
            </w:r>
          </w:p>
        </w:tc>
        <w:tc>
          <w:tcPr>
            <w:tcW w:type="dxa" w:w="2351"/>
          </w:tcPr>
          <w:p>
            <w:r>
              <w:rPr>
                <w:rFonts w:ascii="Calibri" w:hAnsi="Calibri" w:cs="Calibri" w:eastAsia="Calibri"/>
                <w:color w:val="1A1A1A"/>
                <w:sz w:val="20"/>
              </w:rPr>
              <w:t>Confluence / PDF / Markdown</w:t>
            </w:r>
          </w:p>
        </w:tc>
        <w:tc>
          <w:tcPr>
            <w:tcW w:type="dxa" w:w="2351"/>
          </w:tcPr>
          <w:p>
            <w:r>
              <w:rPr>
                <w:rFonts w:ascii="Calibri" w:hAnsi="Calibri" w:cs="Calibri" w:eastAsia="Calibri"/>
                <w:color w:val="1A1A1A"/>
                <w:sz w:val="20"/>
              </w:rPr>
              <w:t>Week 1, Day 4</w:t>
            </w:r>
          </w:p>
        </w:tc>
      </w:tr>
      <w:tr>
        <w:tc>
          <w:tcPr>
            <w:tcW w:type="dxa" w:w="2351"/>
            <w:shd w:val="clear" w:color="auto" w:fill="EEF2F7"/>
          </w:tcPr>
          <w:p>
            <w:r>
              <w:rPr>
                <w:rFonts w:ascii="Calibri" w:hAnsi="Calibri" w:cs="Calibri" w:eastAsia="Calibri"/>
                <w:color w:val="1A1A1A"/>
                <w:sz w:val="20"/>
              </w:rPr>
              <w:t>EV06</w:t>
            </w:r>
          </w:p>
        </w:tc>
        <w:tc>
          <w:tcPr>
            <w:tcW w:type="dxa" w:w="2351"/>
            <w:shd w:val="clear" w:color="auto" w:fill="EEF2F7"/>
          </w:tcPr>
          <w:p>
            <w:r>
              <w:rPr>
                <w:rFonts w:ascii="Calibri" w:hAnsi="Calibri" w:cs="Calibri" w:eastAsia="Calibri"/>
                <w:color w:val="1A1A1A"/>
                <w:sz w:val="20"/>
              </w:rPr>
              <w:t>SLO / Error Budget Dashboard Screenshots</w:t>
            </w:r>
          </w:p>
        </w:tc>
        <w:tc>
          <w:tcPr>
            <w:tcW w:type="dxa" w:w="2351"/>
            <w:shd w:val="clear" w:color="auto" w:fill="EEF2F7"/>
          </w:tcPr>
          <w:p>
            <w:r>
              <w:rPr>
                <w:rFonts w:ascii="Calibri" w:hAnsi="Calibri" w:cs="Calibri" w:eastAsia="Calibri"/>
                <w:color w:val="1A1A1A"/>
                <w:sz w:val="20"/>
              </w:rPr>
              <w:t>Dashboard export / PNG</w:t>
            </w:r>
          </w:p>
        </w:tc>
        <w:tc>
          <w:tcPr>
            <w:tcW w:type="dxa" w:w="2351"/>
            <w:shd w:val="clear" w:color="auto" w:fill="EEF2F7"/>
          </w:tcPr>
          <w:p>
            <w:r>
              <w:rPr>
                <w:rFonts w:ascii="Calibri" w:hAnsi="Calibri" w:cs="Calibri" w:eastAsia="Calibri"/>
                <w:color w:val="1A1A1A"/>
                <w:sz w:val="20"/>
              </w:rPr>
              <w:t>Week 1, Day 4</w:t>
            </w:r>
          </w:p>
        </w:tc>
      </w:tr>
      <w:tr>
        <w:tc>
          <w:tcPr>
            <w:tcW w:type="dxa" w:w="2351"/>
          </w:tcPr>
          <w:p>
            <w:r>
              <w:rPr>
                <w:rFonts w:ascii="Calibri" w:hAnsi="Calibri" w:cs="Calibri" w:eastAsia="Calibri"/>
                <w:color w:val="1A1A1A"/>
                <w:sz w:val="20"/>
              </w:rPr>
              <w:t>EV07</w:t>
            </w:r>
          </w:p>
        </w:tc>
        <w:tc>
          <w:tcPr>
            <w:tcW w:type="dxa" w:w="2351"/>
          </w:tcPr>
          <w:p>
            <w:r>
              <w:rPr>
                <w:rFonts w:ascii="Calibri" w:hAnsi="Calibri" w:cs="Calibri" w:eastAsia="Calibri"/>
                <w:color w:val="1A1A1A"/>
                <w:sz w:val="20"/>
              </w:rPr>
              <w:t>Cloud Cost &amp; Log Ingestion Billing Report (90 days)</w:t>
            </w:r>
          </w:p>
        </w:tc>
        <w:tc>
          <w:tcPr>
            <w:tcW w:type="dxa" w:w="2351"/>
          </w:tcPr>
          <w:p>
            <w:r>
              <w:rPr>
                <w:rFonts w:ascii="Calibri" w:hAnsi="Calibri" w:cs="Calibri" w:eastAsia="Calibri"/>
                <w:color w:val="1A1A1A"/>
                <w:sz w:val="20"/>
              </w:rPr>
              <w:t>AWS/Azure/GCP billing export</w:t>
            </w:r>
          </w:p>
        </w:tc>
        <w:tc>
          <w:tcPr>
            <w:tcW w:type="dxa" w:w="2351"/>
          </w:tcPr>
          <w:p>
            <w:r>
              <w:rPr>
                <w:rFonts w:ascii="Calibri" w:hAnsi="Calibri" w:cs="Calibri" w:eastAsia="Calibri"/>
                <w:color w:val="1A1A1A"/>
                <w:sz w:val="20"/>
              </w:rPr>
              <w:t>Week 2, Day 1</w:t>
            </w:r>
          </w:p>
        </w:tc>
      </w:tr>
      <w:tr>
        <w:tc>
          <w:tcPr>
            <w:tcW w:type="dxa" w:w="2351"/>
            <w:shd w:val="clear" w:color="auto" w:fill="EEF2F7"/>
          </w:tcPr>
          <w:p>
            <w:r>
              <w:rPr>
                <w:rFonts w:ascii="Calibri" w:hAnsi="Calibri" w:cs="Calibri" w:eastAsia="Calibri"/>
                <w:color w:val="1A1A1A"/>
                <w:sz w:val="20"/>
              </w:rPr>
              <w:t>EV08</w:t>
            </w:r>
          </w:p>
        </w:tc>
        <w:tc>
          <w:tcPr>
            <w:tcW w:type="dxa" w:w="2351"/>
            <w:shd w:val="clear" w:color="auto" w:fill="EEF2F7"/>
          </w:tcPr>
          <w:p>
            <w:r>
              <w:rPr>
                <w:rFonts w:ascii="Calibri" w:hAnsi="Calibri" w:cs="Calibri" w:eastAsia="Calibri"/>
                <w:color w:val="1A1A1A"/>
                <w:sz w:val="20"/>
              </w:rPr>
              <w:t>Post-Incident Review / RCA Reports (last 5 major P1s)</w:t>
            </w:r>
          </w:p>
        </w:tc>
        <w:tc>
          <w:tcPr>
            <w:tcW w:type="dxa" w:w="2351"/>
            <w:shd w:val="clear" w:color="auto" w:fill="EEF2F7"/>
          </w:tcPr>
          <w:p>
            <w:r>
              <w:rPr>
                <w:rFonts w:ascii="Calibri" w:hAnsi="Calibri" w:cs="Calibri" w:eastAsia="Calibri"/>
                <w:color w:val="1A1A1A"/>
                <w:sz w:val="20"/>
              </w:rPr>
              <w:t>Confluence / PDF / Docs</w:t>
            </w:r>
          </w:p>
        </w:tc>
        <w:tc>
          <w:tcPr>
            <w:tcW w:type="dxa" w:w="2351"/>
            <w:shd w:val="clear" w:color="auto" w:fill="EEF2F7"/>
          </w:tcPr>
          <w:p>
            <w:r>
              <w:rPr>
                <w:rFonts w:ascii="Calibri" w:hAnsi="Calibri" w:cs="Calibri" w:eastAsia="Calibri"/>
                <w:color w:val="1A1A1A"/>
                <w:sz w:val="20"/>
              </w:rPr>
              <w:t>Week 2, Day 1</w:t>
            </w:r>
          </w:p>
        </w:tc>
      </w:tr>
      <w:tr>
        <w:tc>
          <w:tcPr>
            <w:tcW w:type="dxa" w:w="2351"/>
          </w:tcPr>
          <w:p>
            <w:r>
              <w:rPr>
                <w:rFonts w:ascii="Calibri" w:hAnsi="Calibri" w:cs="Calibri" w:eastAsia="Calibri"/>
                <w:color w:val="1A1A1A"/>
                <w:sz w:val="20"/>
              </w:rPr>
              <w:t>EV09</w:t>
            </w:r>
          </w:p>
        </w:tc>
        <w:tc>
          <w:tcPr>
            <w:tcW w:type="dxa" w:w="2351"/>
          </w:tcPr>
          <w:p>
            <w:r>
              <w:rPr>
                <w:rFonts w:ascii="Calibri" w:hAnsi="Calibri" w:cs="Calibri" w:eastAsia="Calibri"/>
                <w:color w:val="1A1A1A"/>
                <w:sz w:val="20"/>
              </w:rPr>
              <w:t>Data Pipeline Health &amp; Failure Logs</w:t>
            </w:r>
          </w:p>
        </w:tc>
        <w:tc>
          <w:tcPr>
            <w:tcW w:type="dxa" w:w="2351"/>
          </w:tcPr>
          <w:p>
            <w:r>
              <w:rPr>
                <w:rFonts w:ascii="Calibri" w:hAnsi="Calibri" w:cs="Calibri" w:eastAsia="Calibri"/>
                <w:color w:val="1A1A1A"/>
                <w:sz w:val="20"/>
              </w:rPr>
              <w:t>Airflow / Spark logs / Export</w:t>
            </w:r>
          </w:p>
        </w:tc>
        <w:tc>
          <w:tcPr>
            <w:tcW w:type="dxa" w:w="2351"/>
          </w:tcPr>
          <w:p>
            <w:r>
              <w:rPr>
                <w:rFonts w:ascii="Calibri" w:hAnsi="Calibri" w:cs="Calibri" w:eastAsia="Calibri"/>
                <w:color w:val="1A1A1A"/>
                <w:sz w:val="20"/>
              </w:rPr>
              <w:t>Week 2, Day 2</w:t>
            </w:r>
          </w:p>
        </w:tc>
      </w:tr>
      <w:tr>
        <w:tc>
          <w:tcPr>
            <w:tcW w:type="dxa" w:w="2351"/>
            <w:shd w:val="clear" w:color="auto" w:fill="EEF2F7"/>
          </w:tcPr>
          <w:p>
            <w:r>
              <w:rPr>
                <w:rFonts w:ascii="Calibri" w:hAnsi="Calibri" w:cs="Calibri" w:eastAsia="Calibri"/>
                <w:color w:val="1A1A1A"/>
                <w:sz w:val="20"/>
              </w:rPr>
              <w:t>EV10</w:t>
            </w:r>
          </w:p>
        </w:tc>
        <w:tc>
          <w:tcPr>
            <w:tcW w:type="dxa" w:w="2351"/>
            <w:shd w:val="clear" w:color="auto" w:fill="EEF2F7"/>
          </w:tcPr>
          <w:p>
            <w:r>
              <w:rPr>
                <w:rFonts w:ascii="Calibri" w:hAnsi="Calibri" w:cs="Calibri" w:eastAsia="Calibri"/>
                <w:color w:val="1A1A1A"/>
                <w:sz w:val="20"/>
              </w:rPr>
              <w:t>Data Product Dashboard Health Report</w:t>
            </w:r>
          </w:p>
        </w:tc>
        <w:tc>
          <w:tcPr>
            <w:tcW w:type="dxa" w:w="2351"/>
            <w:shd w:val="clear" w:color="auto" w:fill="EEF2F7"/>
          </w:tcPr>
          <w:p>
            <w:r>
              <w:rPr>
                <w:rFonts w:ascii="Calibri" w:hAnsi="Calibri" w:cs="Calibri" w:eastAsia="Calibri"/>
                <w:color w:val="1A1A1A"/>
                <w:sz w:val="20"/>
              </w:rPr>
              <w:t>Screenshot / BI platform log</w:t>
            </w:r>
          </w:p>
        </w:tc>
        <w:tc>
          <w:tcPr>
            <w:tcW w:type="dxa" w:w="2351"/>
            <w:shd w:val="clear" w:color="auto" w:fill="EEF2F7"/>
          </w:tcPr>
          <w:p>
            <w:r>
              <w:rPr>
                <w:rFonts w:ascii="Calibri" w:hAnsi="Calibri" w:cs="Calibri" w:eastAsia="Calibri"/>
                <w:color w:val="1A1A1A"/>
                <w:sz w:val="20"/>
              </w:rPr>
              <w:t>Week 2, Day 2</w:t>
            </w:r>
          </w:p>
        </w:tc>
      </w:tr>
      <w:tr>
        <w:tc>
          <w:tcPr>
            <w:tcW w:type="dxa" w:w="2351"/>
          </w:tcPr>
          <w:p>
            <w:r>
              <w:rPr>
                <w:rFonts w:ascii="Calibri" w:hAnsi="Calibri" w:cs="Calibri" w:eastAsia="Calibri"/>
                <w:color w:val="1A1A1A"/>
                <w:sz w:val="20"/>
              </w:rPr>
              <w:t>EV11</w:t>
            </w:r>
          </w:p>
        </w:tc>
        <w:tc>
          <w:tcPr>
            <w:tcW w:type="dxa" w:w="2351"/>
          </w:tcPr>
          <w:p>
            <w:r>
              <w:rPr>
                <w:rFonts w:ascii="Calibri" w:hAnsi="Calibri" w:cs="Calibri" w:eastAsia="Calibri"/>
                <w:color w:val="1A1A1A"/>
                <w:sz w:val="20"/>
              </w:rPr>
              <w:t>Tool Licensing &amp; SaaS Contract Inventory</w:t>
            </w:r>
          </w:p>
        </w:tc>
        <w:tc>
          <w:tcPr>
            <w:tcW w:type="dxa" w:w="2351"/>
          </w:tcPr>
          <w:p>
            <w:r>
              <w:rPr>
                <w:rFonts w:ascii="Calibri" w:hAnsi="Calibri" w:cs="Calibri" w:eastAsia="Calibri"/>
                <w:color w:val="1A1A1A"/>
                <w:sz w:val="20"/>
              </w:rPr>
              <w:t>Spreadsheet / Procurement list</w:t>
            </w:r>
          </w:p>
        </w:tc>
        <w:tc>
          <w:tcPr>
            <w:tcW w:type="dxa" w:w="2351"/>
          </w:tcPr>
          <w:p>
            <w:r>
              <w:rPr>
                <w:rFonts w:ascii="Calibri" w:hAnsi="Calibri" w:cs="Calibri" w:eastAsia="Calibri"/>
                <w:color w:val="1A1A1A"/>
                <w:sz w:val="20"/>
              </w:rPr>
              <w:t>Week 2, Day 3</w:t>
            </w:r>
          </w:p>
        </w:tc>
      </w:tr>
      <w:tr>
        <w:tc>
          <w:tcPr>
            <w:tcW w:type="dxa" w:w="2351"/>
            <w:shd w:val="clear" w:color="auto" w:fill="EEF2F7"/>
          </w:tcPr>
          <w:p>
            <w:r>
              <w:rPr>
                <w:rFonts w:ascii="Calibri" w:hAnsi="Calibri" w:cs="Calibri" w:eastAsia="Calibri"/>
                <w:color w:val="1A1A1A"/>
                <w:sz w:val="20"/>
              </w:rPr>
              <w:t>EV12</w:t>
            </w:r>
          </w:p>
        </w:tc>
        <w:tc>
          <w:tcPr>
            <w:tcW w:type="dxa" w:w="2351"/>
            <w:shd w:val="clear" w:color="auto" w:fill="EEF2F7"/>
          </w:tcPr>
          <w:p>
            <w:r>
              <w:rPr>
                <w:rFonts w:ascii="Calibri" w:hAnsi="Calibri" w:cs="Calibri" w:eastAsia="Calibri"/>
                <w:color w:val="1A1A1A"/>
                <w:sz w:val="20"/>
              </w:rPr>
              <w:t>Capacity Planning &amp; Infrastructure Sizing Docs</w:t>
            </w:r>
          </w:p>
        </w:tc>
        <w:tc>
          <w:tcPr>
            <w:tcW w:type="dxa" w:w="2351"/>
            <w:shd w:val="clear" w:color="auto" w:fill="EEF2F7"/>
          </w:tcPr>
          <w:p>
            <w:r>
              <w:rPr>
                <w:rFonts w:ascii="Calibri" w:hAnsi="Calibri" w:cs="Calibri" w:eastAsia="Calibri"/>
                <w:color w:val="1A1A1A"/>
                <w:sz w:val="20"/>
              </w:rPr>
              <w:t>Architecture doc / Spreadsheet</w:t>
            </w:r>
          </w:p>
        </w:tc>
        <w:tc>
          <w:tcPr>
            <w:tcW w:type="dxa" w:w="2351"/>
            <w:shd w:val="clear" w:color="auto" w:fill="EEF2F7"/>
          </w:tcPr>
          <w:p>
            <w:r>
              <w:rPr>
                <w:rFonts w:ascii="Calibri" w:hAnsi="Calibri" w:cs="Calibri" w:eastAsia="Calibri"/>
                <w:color w:val="1A1A1A"/>
                <w:sz w:val="20"/>
              </w:rPr>
              <w:t>Week 2, Day 3</w:t>
            </w:r>
          </w:p>
        </w:tc>
      </w:tr>
      <w:tr>
        <w:tc>
          <w:tcPr>
            <w:tcW w:type="dxa" w:w="2351"/>
          </w:tcPr>
          <w:p>
            <w:r>
              <w:rPr>
                <w:rFonts w:ascii="Calibri" w:hAnsi="Calibri" w:cs="Calibri" w:eastAsia="Calibri"/>
                <w:color w:val="1A1A1A"/>
                <w:sz w:val="20"/>
              </w:rPr>
              <w:t>EV13</w:t>
            </w:r>
          </w:p>
        </w:tc>
        <w:tc>
          <w:tcPr>
            <w:tcW w:type="dxa" w:w="2351"/>
          </w:tcPr>
          <w:p>
            <w:r>
              <w:rPr>
                <w:rFonts w:ascii="Calibri" w:hAnsi="Calibri" w:cs="Calibri" w:eastAsia="Calibri"/>
                <w:color w:val="1A1A1A"/>
                <w:sz w:val="20"/>
              </w:rPr>
              <w:t>AI / ML Pipeline Monitoring Config (if applicable)</w:t>
            </w:r>
          </w:p>
        </w:tc>
        <w:tc>
          <w:tcPr>
            <w:tcW w:type="dxa" w:w="2351"/>
          </w:tcPr>
          <w:p>
            <w:r>
              <w:rPr>
                <w:rFonts w:ascii="Calibri" w:hAnsi="Calibri" w:cs="Calibri" w:eastAsia="Calibri"/>
                <w:color w:val="1A1A1A"/>
                <w:sz w:val="20"/>
              </w:rPr>
              <w:t>Config files / Screenshots</w:t>
            </w:r>
          </w:p>
        </w:tc>
        <w:tc>
          <w:tcPr>
            <w:tcW w:type="dxa" w:w="2351"/>
          </w:tcPr>
          <w:p>
            <w:r>
              <w:rPr>
                <w:rFonts w:ascii="Calibri" w:hAnsi="Calibri" w:cs="Calibri" w:eastAsia="Calibri"/>
                <w:color w:val="1A1A1A"/>
                <w:sz w:val="20"/>
              </w:rPr>
              <w:t>Week 2, Day 4</w:t>
            </w:r>
          </w:p>
        </w:tc>
      </w:tr>
    </w:tbl>
    <w:p/>
    <w:p>
      <w:pPr>
        <w:pStyle w:val="ListBullet"/>
        <w:ind w:left="360"/>
      </w:pPr>
      <w:r>
        <w:rPr>
          <w:rFonts w:ascii="Calibri" w:hAnsi="Calibri" w:cs="Calibri" w:eastAsia="Calibri"/>
          <w:color w:val="1A1A1A"/>
          <w:sz w:val="22"/>
        </w:rPr>
        <w:t>EV01-EV06 shared with Track A; customers upgrading from Track A need not resubmit these</w:t>
      </w:r>
    </w:p>
    <w:p>
      <w:pPr>
        <w:pStyle w:val="ListBullet"/>
        <w:ind w:left="360"/>
      </w:pPr>
      <w:r>
        <w:rPr>
          <w:rFonts w:ascii="Calibri" w:hAnsi="Calibri" w:cs="Calibri" w:eastAsia="Calibri"/>
          <w:color w:val="1A1A1A"/>
          <w:sz w:val="22"/>
        </w:rPr>
        <w:t>Evidence submitted asynchronously via agreed secure channel (email / SharePoint)</w:t>
      </w:r>
    </w:p>
    <w:p>
      <w:pPr>
        <w:pStyle w:val="ListBullet"/>
        <w:ind w:left="360"/>
      </w:pPr>
      <w:r>
        <w:rPr>
          <w:rFonts w:ascii="Calibri" w:hAnsi="Calibri" w:cs="Calibri" w:eastAsia="Calibri"/>
          <w:color w:val="1A1A1A"/>
          <w:sz w:val="22"/>
        </w:rPr>
        <w:t>Incomplete or missing evidence items are logged in the Scope &amp; Exclusions Charter</w:t>
      </w:r>
    </w:p>
    <w:p>
      <w:r>
        <w:rPr>
          <w:rFonts w:ascii="Calibri" w:hAnsi="Calibri" w:cs="Calibri" w:eastAsia="Calibri"/>
          <w:i/>
          <w:color w:val="1A1A1A"/>
          <w:sz w:val="22"/>
        </w:rPr>
        <w:t>Note: Evidence gaps for O11 (AI) and O12 (Sustainability) that indicate the customer does not operate these capabilities will result in those dimensions being marked N/A rather than scored.</w:t>
      </w:r>
    </w:p>
    <w:p>
      <w:pPr>
        <w:pBdr>
          <w:bottom w:val="single" w:sz="6" w:space="1" w:color="AAAAAA"/>
        </w:pBdr>
      </w:pPr>
    </w:p>
    <w:p>
      <w:pPr>
        <w:spacing w:before="280" w:after="80"/>
      </w:pPr>
      <w:r>
        <w:rPr>
          <w:rFonts w:ascii="Calibri" w:hAnsi="Calibri" w:cs="Calibri" w:eastAsia="Calibri"/>
          <w:b/>
          <w:color w:val="1A1A1A"/>
          <w:sz w:val="22"/>
        </w:rPr>
        <w:t>Section 4: Activities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7375E"/>
          </w:tcPr>
          <w:p>
            <w:r>
              <w:rPr>
                <w:rFonts w:ascii="Calibri" w:hAnsi="Calibri" w:cs="Calibri" w:eastAsia="Calibri"/>
                <w:b/>
                <w:color w:val="FFFFFF"/>
                <w:sz w:val="20"/>
              </w:rPr>
              <w:t>Week</w:t>
            </w:r>
          </w:p>
        </w:tc>
        <w:tc>
          <w:tcPr>
            <w:tcW w:type="dxa" w:w="2351"/>
            <w:shd w:val="clear" w:color="auto" w:fill="17375E"/>
          </w:tcPr>
          <w:p>
            <w:r>
              <w:rPr>
                <w:rFonts w:ascii="Calibri" w:hAnsi="Calibri" w:cs="Calibri" w:eastAsia="Calibri"/>
                <w:b/>
                <w:color w:val="FFFFFF"/>
                <w:sz w:val="20"/>
              </w:rPr>
              <w:t>Activity</w:t>
            </w:r>
          </w:p>
        </w:tc>
        <w:tc>
          <w:tcPr>
            <w:tcW w:type="dxa" w:w="2351"/>
            <w:shd w:val="clear" w:color="auto" w:fill="17375E"/>
          </w:tcPr>
          <w:p>
            <w:r>
              <w:rPr>
                <w:rFonts w:ascii="Calibri" w:hAnsi="Calibri" w:cs="Calibri" w:eastAsia="Calibri"/>
                <w:b/>
                <w:color w:val="FFFFFF"/>
                <w:sz w:val="20"/>
              </w:rPr>
              <w:t>Owner</w:t>
            </w:r>
          </w:p>
        </w:tc>
        <w:tc>
          <w:tcPr>
            <w:tcW w:type="dxa" w:w="2351"/>
            <w:shd w:val="clear" w:color="auto" w:fill="17375E"/>
          </w:tcPr>
          <w:p>
            <w:r>
              <w:rPr>
                <w:rFonts w:ascii="Calibri" w:hAnsi="Calibri" w:cs="Calibri" w:eastAsia="Calibri"/>
                <w:b/>
                <w:color w:val="FFFFFF"/>
                <w:sz w:val="20"/>
              </w:rPr>
              <w:t>Format</w:t>
            </w:r>
          </w:p>
        </w:tc>
      </w:tr>
      <w:tr>
        <w:tc>
          <w:tcPr>
            <w:tcW w:type="dxa" w:w="2351"/>
          </w:tcPr>
          <w:p>
            <w:r>
              <w:rPr>
                <w:rFonts w:ascii="Calibri" w:hAnsi="Calibri" w:cs="Calibri" w:eastAsia="Calibri"/>
                <w:color w:val="1A1A1A"/>
                <w:sz w:val="20"/>
              </w:rPr>
              <w:t>Week 1 - Day 1</w:t>
            </w:r>
          </w:p>
        </w:tc>
        <w:tc>
          <w:tcPr>
            <w:tcW w:type="dxa" w:w="2351"/>
          </w:tcPr>
          <w:p>
            <w:r>
              <w:rPr>
                <w:rFonts w:ascii="Calibri" w:hAnsi="Calibri" w:cs="Calibri" w:eastAsia="Calibri"/>
                <w:color w:val="1A1A1A"/>
                <w:sz w:val="20"/>
              </w:rPr>
              <w:t>Kick-off: scope confirmation, participant introductions, evidence list briefing, Scope &amp; Exclusions Charter sign-off</w:t>
            </w:r>
          </w:p>
        </w:tc>
        <w:tc>
          <w:tcPr>
            <w:tcW w:type="dxa" w:w="2351"/>
          </w:tcPr>
          <w:p>
            <w:r>
              <w:rPr>
                <w:rFonts w:ascii="Calibri" w:hAnsi="Calibri" w:cs="Calibri" w:eastAsia="Calibri"/>
                <w:color w:val="1A1A1A"/>
                <w:sz w:val="20"/>
              </w:rPr>
              <w:t>Vithi Lead + Customer SRE/Arch</w:t>
            </w:r>
          </w:p>
        </w:tc>
        <w:tc>
          <w:tcPr>
            <w:tcW w:type="dxa" w:w="2351"/>
          </w:tcPr>
          <w:p>
            <w:r>
              <w:rPr>
                <w:rFonts w:ascii="Calibri" w:hAnsi="Calibri" w:cs="Calibri" w:eastAsia="Calibri"/>
                <w:color w:val="1A1A1A"/>
                <w:sz w:val="20"/>
              </w:rPr>
              <w:t>90-min video call</w:t>
            </w:r>
          </w:p>
        </w:tc>
      </w:tr>
      <w:tr>
        <w:tc>
          <w:tcPr>
            <w:tcW w:type="dxa" w:w="2351"/>
            <w:shd w:val="clear" w:color="auto" w:fill="EEF2F7"/>
          </w:tcPr>
          <w:p>
            <w:r>
              <w:rPr>
                <w:rFonts w:ascii="Calibri" w:hAnsi="Calibri" w:cs="Calibri" w:eastAsia="Calibri"/>
                <w:color w:val="1A1A1A"/>
                <w:sz w:val="20"/>
              </w:rPr>
              <w:t>Week 1 - Days 2-5</w:t>
            </w:r>
          </w:p>
        </w:tc>
        <w:tc>
          <w:tcPr>
            <w:tcW w:type="dxa" w:w="2351"/>
            <w:shd w:val="clear" w:color="auto" w:fill="EEF2F7"/>
          </w:tcPr>
          <w:p>
            <w:r>
              <w:rPr>
                <w:rFonts w:ascii="Calibri" w:hAnsi="Calibri" w:cs="Calibri" w:eastAsia="Calibri"/>
                <w:color w:val="1A1A1A"/>
                <w:sz w:val="20"/>
              </w:rPr>
              <w:t>Async evidence collection (EV01-EV06); Vithi preliminary review and gap flagging</w:t>
            </w:r>
          </w:p>
        </w:tc>
        <w:tc>
          <w:tcPr>
            <w:tcW w:type="dxa" w:w="2351"/>
            <w:shd w:val="clear" w:color="auto" w:fill="EEF2F7"/>
          </w:tcPr>
          <w:p>
            <w:r>
              <w:rPr>
                <w:rFonts w:ascii="Calibri" w:hAnsi="Calibri" w:cs="Calibri" w:eastAsia="Calibri"/>
                <w:color w:val="1A1A1A"/>
                <w:sz w:val="20"/>
              </w:rPr>
              <w:t>Vithi Assessor</w:t>
            </w:r>
          </w:p>
        </w:tc>
        <w:tc>
          <w:tcPr>
            <w:tcW w:type="dxa" w:w="2351"/>
            <w:shd w:val="clear" w:color="auto" w:fill="EEF2F7"/>
          </w:tcPr>
          <w:p>
            <w:r>
              <w:rPr>
                <w:rFonts w:ascii="Calibri" w:hAnsi="Calibri" w:cs="Calibri" w:eastAsia="Calibri"/>
                <w:color w:val="1A1A1A"/>
                <w:sz w:val="20"/>
              </w:rPr>
              <w:t>Async + 1x clarification call</w:t>
            </w:r>
          </w:p>
        </w:tc>
      </w:tr>
      <w:tr>
        <w:tc>
          <w:tcPr>
            <w:tcW w:type="dxa" w:w="2351"/>
          </w:tcPr>
          <w:p>
            <w:r>
              <w:rPr>
                <w:rFonts w:ascii="Calibri" w:hAnsi="Calibri" w:cs="Calibri" w:eastAsia="Calibri"/>
                <w:color w:val="1A1A1A"/>
                <w:sz w:val="20"/>
              </w:rPr>
              <w:t>Week 2 - Days 1-2</w:t>
            </w:r>
          </w:p>
        </w:tc>
        <w:tc>
          <w:tcPr>
            <w:tcW w:type="dxa" w:w="2351"/>
          </w:tcPr>
          <w:p>
            <w:r>
              <w:rPr>
                <w:rFonts w:ascii="Calibri" w:hAnsi="Calibri" w:cs="Calibri" w:eastAsia="Calibri"/>
                <w:color w:val="1A1A1A"/>
                <w:sz w:val="20"/>
              </w:rPr>
              <w:t>Evidence collection (EV07-EV13); O0-O6 scoring workshop (core dimensions)</w:t>
            </w:r>
          </w:p>
        </w:tc>
        <w:tc>
          <w:tcPr>
            <w:tcW w:type="dxa" w:w="2351"/>
          </w:tcPr>
          <w:p>
            <w:r>
              <w:rPr>
                <w:rFonts w:ascii="Calibri" w:hAnsi="Calibri" w:cs="Calibri" w:eastAsia="Calibri"/>
                <w:color w:val="1A1A1A"/>
                <w:sz w:val="20"/>
              </w:rPr>
              <w:t>Vithi Assessor + SRE/FinOps Lead</w:t>
            </w:r>
          </w:p>
        </w:tc>
        <w:tc>
          <w:tcPr>
            <w:tcW w:type="dxa" w:w="2351"/>
          </w:tcPr>
          <w:p>
            <w:r>
              <w:rPr>
                <w:rFonts w:ascii="Calibri" w:hAnsi="Calibri" w:cs="Calibri" w:eastAsia="Calibri"/>
                <w:color w:val="1A1A1A"/>
                <w:sz w:val="20"/>
              </w:rPr>
              <w:t>2x 90-min workshops</w:t>
            </w:r>
          </w:p>
        </w:tc>
      </w:tr>
      <w:tr>
        <w:tc>
          <w:tcPr>
            <w:tcW w:type="dxa" w:w="2351"/>
            <w:shd w:val="clear" w:color="auto" w:fill="EEF2F7"/>
          </w:tcPr>
          <w:p>
            <w:r>
              <w:rPr>
                <w:rFonts w:ascii="Calibri" w:hAnsi="Calibri" w:cs="Calibri" w:eastAsia="Calibri"/>
                <w:color w:val="1A1A1A"/>
                <w:sz w:val="20"/>
              </w:rPr>
              <w:t>Week 2 - Days 3-5</w:t>
            </w:r>
          </w:p>
        </w:tc>
        <w:tc>
          <w:tcPr>
            <w:tcW w:type="dxa" w:w="2351"/>
            <w:shd w:val="clear" w:color="auto" w:fill="EEF2F7"/>
          </w:tcPr>
          <w:p>
            <w:r>
              <w:rPr>
                <w:rFonts w:ascii="Calibri" w:hAnsi="Calibri" w:cs="Calibri" w:eastAsia="Calibri"/>
                <w:color w:val="1A1A1A"/>
                <w:sz w:val="20"/>
              </w:rPr>
              <w:t>O7-O10 scoring workshops (cost, data, tooling); tool rationalization deep-dive</w:t>
            </w:r>
          </w:p>
        </w:tc>
        <w:tc>
          <w:tcPr>
            <w:tcW w:type="dxa" w:w="2351"/>
            <w:shd w:val="clear" w:color="auto" w:fill="EEF2F7"/>
          </w:tcPr>
          <w:p>
            <w:r>
              <w:rPr>
                <w:rFonts w:ascii="Calibri" w:hAnsi="Calibri" w:cs="Calibri" w:eastAsia="Calibri"/>
                <w:color w:val="1A1A1A"/>
                <w:sz w:val="20"/>
              </w:rPr>
              <w:t>Vithi Assessor + Platform Arch</w:t>
            </w:r>
          </w:p>
        </w:tc>
        <w:tc>
          <w:tcPr>
            <w:tcW w:type="dxa" w:w="2351"/>
            <w:shd w:val="clear" w:color="auto" w:fill="EEF2F7"/>
          </w:tcPr>
          <w:p>
            <w:r>
              <w:rPr>
                <w:rFonts w:ascii="Calibri" w:hAnsi="Calibri" w:cs="Calibri" w:eastAsia="Calibri"/>
                <w:color w:val="1A1A1A"/>
                <w:sz w:val="20"/>
              </w:rPr>
              <w:t>2x 90-min workshops</w:t>
            </w:r>
          </w:p>
        </w:tc>
      </w:tr>
      <w:tr>
        <w:tc>
          <w:tcPr>
            <w:tcW w:type="dxa" w:w="2351"/>
          </w:tcPr>
          <w:p>
            <w:r>
              <w:rPr>
                <w:rFonts w:ascii="Calibri" w:hAnsi="Calibri" w:cs="Calibri" w:eastAsia="Calibri"/>
                <w:color w:val="1A1A1A"/>
                <w:sz w:val="20"/>
              </w:rPr>
              <w:t>Week 3 - Days 1-2</w:t>
            </w:r>
          </w:p>
        </w:tc>
        <w:tc>
          <w:tcPr>
            <w:tcW w:type="dxa" w:w="2351"/>
          </w:tcPr>
          <w:p>
            <w:r>
              <w:rPr>
                <w:rFonts w:ascii="Calibri" w:hAnsi="Calibri" w:cs="Calibri" w:eastAsia="Calibri"/>
                <w:color w:val="1A1A1A"/>
                <w:sz w:val="20"/>
              </w:rPr>
              <w:t>O11-O12 assessment (if in scope); complete gap analysis across all dimensions</w:t>
            </w:r>
          </w:p>
        </w:tc>
        <w:tc>
          <w:tcPr>
            <w:tcW w:type="dxa" w:w="2351"/>
          </w:tcPr>
          <w:p>
            <w:r>
              <w:rPr>
                <w:rFonts w:ascii="Calibri" w:hAnsi="Calibri" w:cs="Calibri" w:eastAsia="Calibri"/>
                <w:color w:val="1A1A1A"/>
                <w:sz w:val="20"/>
              </w:rPr>
              <w:t>Vithi Assessor</w:t>
            </w:r>
          </w:p>
        </w:tc>
        <w:tc>
          <w:tcPr>
            <w:tcW w:type="dxa" w:w="2351"/>
          </w:tcPr>
          <w:p>
            <w:r>
              <w:rPr>
                <w:rFonts w:ascii="Calibri" w:hAnsi="Calibri" w:cs="Calibri" w:eastAsia="Calibri"/>
                <w:color w:val="1A1A1A"/>
                <w:sz w:val="20"/>
              </w:rPr>
              <w:t>Internal + 1x optional customer call</w:t>
            </w:r>
          </w:p>
        </w:tc>
      </w:tr>
      <w:tr>
        <w:tc>
          <w:tcPr>
            <w:tcW w:type="dxa" w:w="2351"/>
            <w:shd w:val="clear" w:color="auto" w:fill="EEF2F7"/>
          </w:tcPr>
          <w:p>
            <w:r>
              <w:rPr>
                <w:rFonts w:ascii="Calibri" w:hAnsi="Calibri" w:cs="Calibri" w:eastAsia="Calibri"/>
                <w:color w:val="1A1A1A"/>
                <w:sz w:val="20"/>
              </w:rPr>
              <w:t>Week 3 - Days 3-5</w:t>
            </w:r>
          </w:p>
        </w:tc>
        <w:tc>
          <w:tcPr>
            <w:tcW w:type="dxa" w:w="2351"/>
            <w:shd w:val="clear" w:color="auto" w:fill="EEF2F7"/>
          </w:tcPr>
          <w:p>
            <w:r>
              <w:rPr>
                <w:rFonts w:ascii="Calibri" w:hAnsi="Calibri" w:cs="Calibri" w:eastAsia="Calibri"/>
                <w:color w:val="1A1A1A"/>
                <w:sz w:val="20"/>
              </w:rPr>
              <w:t>Value modelling workshops: illustrative opportunity sizing, roadmap prioritisation</w:t>
            </w:r>
          </w:p>
        </w:tc>
        <w:tc>
          <w:tcPr>
            <w:tcW w:type="dxa" w:w="2351"/>
            <w:shd w:val="clear" w:color="auto" w:fill="EEF2F7"/>
          </w:tcPr>
          <w:p>
            <w:r>
              <w:rPr>
                <w:rFonts w:ascii="Calibri" w:hAnsi="Calibri" w:cs="Calibri" w:eastAsia="Calibri"/>
                <w:color w:val="1A1A1A"/>
                <w:sz w:val="20"/>
              </w:rPr>
              <w:t>Vithi Lead + Exec Sponsor</w:t>
            </w:r>
          </w:p>
        </w:tc>
        <w:tc>
          <w:tcPr>
            <w:tcW w:type="dxa" w:w="2351"/>
            <w:shd w:val="clear" w:color="auto" w:fill="EEF2F7"/>
          </w:tcPr>
          <w:p>
            <w:r>
              <w:rPr>
                <w:rFonts w:ascii="Calibri" w:hAnsi="Calibri" w:cs="Calibri" w:eastAsia="Calibri"/>
                <w:color w:val="1A1A1A"/>
                <w:sz w:val="20"/>
              </w:rPr>
              <w:t>2x 60-min workshops</w:t>
            </w:r>
          </w:p>
        </w:tc>
      </w:tr>
      <w:tr>
        <w:tc>
          <w:tcPr>
            <w:tcW w:type="dxa" w:w="2351"/>
          </w:tcPr>
          <w:p>
            <w:r>
              <w:rPr>
                <w:rFonts w:ascii="Calibri" w:hAnsi="Calibri" w:cs="Calibri" w:eastAsia="Calibri"/>
                <w:color w:val="1A1A1A"/>
                <w:sz w:val="20"/>
              </w:rPr>
              <w:t>Week 4 - Days 1-2</w:t>
            </w:r>
          </w:p>
        </w:tc>
        <w:tc>
          <w:tcPr>
            <w:tcW w:type="dxa" w:w="2351"/>
          </w:tcPr>
          <w:p>
            <w:r>
              <w:rPr>
                <w:rFonts w:ascii="Calibri" w:hAnsi="Calibri" w:cs="Calibri" w:eastAsia="Calibri"/>
                <w:color w:val="1A1A1A"/>
                <w:sz w:val="20"/>
              </w:rPr>
              <w:t>Readout preparation: Illustrative Value Blueprint draft, Executive Summary deck</w:t>
            </w:r>
          </w:p>
        </w:tc>
        <w:tc>
          <w:tcPr>
            <w:tcW w:type="dxa" w:w="2351"/>
          </w:tcPr>
          <w:p>
            <w:r>
              <w:rPr>
                <w:rFonts w:ascii="Calibri" w:hAnsi="Calibri" w:cs="Calibri" w:eastAsia="Calibri"/>
                <w:color w:val="1A1A1A"/>
                <w:sz w:val="20"/>
              </w:rPr>
              <w:t>Vithi Assessor + Lead</w:t>
            </w:r>
          </w:p>
        </w:tc>
        <w:tc>
          <w:tcPr>
            <w:tcW w:type="dxa" w:w="2351"/>
          </w:tcPr>
          <w:p>
            <w:r>
              <w:rPr>
                <w:rFonts w:ascii="Calibri" w:hAnsi="Calibri" w:cs="Calibri" w:eastAsia="Calibri"/>
                <w:color w:val="1A1A1A"/>
                <w:sz w:val="20"/>
              </w:rPr>
              <w:t>Internal</w:t>
            </w:r>
          </w:p>
        </w:tc>
      </w:tr>
      <w:tr>
        <w:tc>
          <w:tcPr>
            <w:tcW w:type="dxa" w:w="2351"/>
            <w:shd w:val="clear" w:color="auto" w:fill="EEF2F7"/>
          </w:tcPr>
          <w:p>
            <w:r>
              <w:rPr>
                <w:rFonts w:ascii="Calibri" w:hAnsi="Calibri" w:cs="Calibri" w:eastAsia="Calibri"/>
                <w:color w:val="1A1A1A"/>
                <w:sz w:val="20"/>
              </w:rPr>
              <w:t>Week 4 - Days 3-4</w:t>
            </w:r>
          </w:p>
        </w:tc>
        <w:tc>
          <w:tcPr>
            <w:tcW w:type="dxa" w:w="2351"/>
            <w:shd w:val="clear" w:color="auto" w:fill="EEF2F7"/>
          </w:tcPr>
          <w:p>
            <w:r>
              <w:rPr>
                <w:rFonts w:ascii="Calibri" w:hAnsi="Calibri" w:cs="Calibri" w:eastAsia="Calibri"/>
                <w:color w:val="1A1A1A"/>
                <w:sz w:val="20"/>
              </w:rPr>
              <w:t>Stakeholder validation: draft readout shared for customer review and challenge</w:t>
            </w:r>
          </w:p>
        </w:tc>
        <w:tc>
          <w:tcPr>
            <w:tcW w:type="dxa" w:w="2351"/>
            <w:shd w:val="clear" w:color="auto" w:fill="EEF2F7"/>
          </w:tcPr>
          <w:p>
            <w:r>
              <w:rPr>
                <w:rFonts w:ascii="Calibri" w:hAnsi="Calibri" w:cs="Calibri" w:eastAsia="Calibri"/>
                <w:color w:val="1A1A1A"/>
                <w:sz w:val="20"/>
              </w:rPr>
              <w:t>Vithi Lead + Customer Exec Team</w:t>
            </w:r>
          </w:p>
        </w:tc>
        <w:tc>
          <w:tcPr>
            <w:tcW w:type="dxa" w:w="2351"/>
            <w:shd w:val="clear" w:color="auto" w:fill="EEF2F7"/>
          </w:tcPr>
          <w:p>
            <w:r>
              <w:rPr>
                <w:rFonts w:ascii="Calibri" w:hAnsi="Calibri" w:cs="Calibri" w:eastAsia="Calibri"/>
                <w:color w:val="1A1A1A"/>
                <w:sz w:val="20"/>
              </w:rPr>
              <w:t>Async review + 60-min call</w:t>
            </w:r>
          </w:p>
        </w:tc>
      </w:tr>
      <w:tr>
        <w:tc>
          <w:tcPr>
            <w:tcW w:type="dxa" w:w="2351"/>
          </w:tcPr>
          <w:p>
            <w:r>
              <w:rPr>
                <w:rFonts w:ascii="Calibri" w:hAnsi="Calibri" w:cs="Calibri" w:eastAsia="Calibri"/>
                <w:color w:val="1A1A1A"/>
                <w:sz w:val="20"/>
              </w:rPr>
              <w:t>Week 4 - Day 5</w:t>
            </w:r>
          </w:p>
        </w:tc>
        <w:tc>
          <w:tcPr>
            <w:tcW w:type="dxa" w:w="2351"/>
          </w:tcPr>
          <w:p>
            <w:r>
              <w:rPr>
                <w:rFonts w:ascii="Calibri" w:hAnsi="Calibri" w:cs="Calibri" w:eastAsia="Calibri"/>
                <w:color w:val="1A1A1A"/>
                <w:sz w:val="20"/>
              </w:rPr>
              <w:t>Final Executive Readout delivery; roadmap sign-off; next-steps and upgrade options</w:t>
            </w:r>
          </w:p>
        </w:tc>
        <w:tc>
          <w:tcPr>
            <w:tcW w:type="dxa" w:w="2351"/>
          </w:tcPr>
          <w:p>
            <w:r>
              <w:rPr>
                <w:rFonts w:ascii="Calibri" w:hAnsi="Calibri" w:cs="Calibri" w:eastAsia="Calibri"/>
                <w:color w:val="1A1A1A"/>
                <w:sz w:val="20"/>
              </w:rPr>
              <w:t>Vithi Lead + Customer C-Suite</w:t>
            </w:r>
          </w:p>
        </w:tc>
        <w:tc>
          <w:tcPr>
            <w:tcW w:type="dxa" w:w="2351"/>
          </w:tcPr>
          <w:p>
            <w:r>
              <w:rPr>
                <w:rFonts w:ascii="Calibri" w:hAnsi="Calibri" w:cs="Calibri" w:eastAsia="Calibri"/>
                <w:color w:val="1A1A1A"/>
                <w:sz w:val="20"/>
              </w:rPr>
              <w:t>90-min presentation</w:t>
            </w:r>
          </w:p>
        </w:tc>
      </w:tr>
    </w:tbl>
    <w:p/>
    <w:p>
      <w:r>
        <w:rPr>
          <w:rFonts w:ascii="Calibri" w:hAnsi="Calibri" w:cs="Calibri" w:eastAsia="Calibri"/>
          <w:i/>
          <w:color w:val="1A1A1A"/>
          <w:sz w:val="22"/>
        </w:rPr>
        <w:t>Note: Week count is calendar weeks of working days. Customer blackout periods and holiday schedules extend the timeline by mutual agreement, confirmed at kick-off.</w:t>
      </w:r>
    </w:p>
    <w:p>
      <w:pPr>
        <w:pBdr>
          <w:bottom w:val="single" w:sz="6" w:space="1" w:color="AAAAAA"/>
        </w:pBdr>
      </w:pPr>
    </w:p>
    <w:p>
      <w:pPr>
        <w:spacing w:before="280" w:after="80"/>
      </w:pPr>
      <w:r>
        <w:rPr>
          <w:rFonts w:ascii="Calibri" w:hAnsi="Calibri" w:cs="Calibri" w:eastAsia="Calibri"/>
          <w:b/>
          <w:color w:val="1A1A1A"/>
          <w:sz w:val="22"/>
        </w:rPr>
        <w:t>Section 5: Outputs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7375E"/>
          </w:tcPr>
          <w:p>
            <w:r>
              <w:rPr>
                <w:rFonts w:ascii="Calibri" w:hAnsi="Calibri" w:cs="Calibri" w:eastAsia="Calibri"/>
                <w:b/>
                <w:color w:val="FFFFFF"/>
                <w:sz w:val="20"/>
              </w:rPr>
              <w:t>Output</w:t>
            </w:r>
          </w:p>
        </w:tc>
        <w:tc>
          <w:tcPr>
            <w:tcW w:type="dxa" w:w="3135"/>
            <w:shd w:val="clear" w:color="auto" w:fill="17375E"/>
          </w:tcPr>
          <w:p>
            <w:r>
              <w:rPr>
                <w:rFonts w:ascii="Calibri" w:hAnsi="Calibri" w:cs="Calibri" w:eastAsia="Calibri"/>
                <w:b/>
                <w:color w:val="FFFFFF"/>
                <w:sz w:val="20"/>
              </w:rPr>
              <w:t>Description</w:t>
            </w:r>
          </w:p>
        </w:tc>
        <w:tc>
          <w:tcPr>
            <w:tcW w:type="dxa" w:w="3135"/>
            <w:shd w:val="clear" w:color="auto" w:fill="17375E"/>
          </w:tcPr>
          <w:p>
            <w:r>
              <w:rPr>
                <w:rFonts w:ascii="Calibri" w:hAnsi="Calibri" w:cs="Calibri" w:eastAsia="Calibri"/>
                <w:b/>
                <w:color w:val="FFFFFF"/>
                <w:sz w:val="20"/>
              </w:rPr>
              <w:t>Recipient</w:t>
            </w:r>
          </w:p>
        </w:tc>
      </w:tr>
      <w:tr>
        <w:tc>
          <w:tcPr>
            <w:tcW w:type="dxa" w:w="3135"/>
          </w:tcPr>
          <w:p>
            <w:r>
              <w:rPr>
                <w:rFonts w:ascii="Calibri" w:hAnsi="Calibri" w:cs="Calibri" w:eastAsia="Calibri"/>
                <w:color w:val="1A1A1A"/>
                <w:sz w:val="20"/>
              </w:rPr>
              <w:t>Full O0-O12 Maturity Heatmap</w:t>
            </w:r>
          </w:p>
        </w:tc>
        <w:tc>
          <w:tcPr>
            <w:tcW w:type="dxa" w:w="3135"/>
          </w:tcPr>
          <w:p>
            <w:r>
              <w:rPr>
                <w:rFonts w:ascii="Calibri" w:hAnsi="Calibri" w:cs="Calibri" w:eastAsia="Calibri"/>
                <w:color w:val="1A1A1A"/>
                <w:sz w:val="20"/>
              </w:rPr>
              <w:t>Colour-coded maturity score (1-5) across all 13 dimensions on the Vithi evidence-based maturity scale. N/A for dimensions confirmed out of estate.</w:t>
            </w:r>
          </w:p>
        </w:tc>
        <w:tc>
          <w:tcPr>
            <w:tcW w:type="dxa" w:w="3135"/>
          </w:tcPr>
          <w:p>
            <w:r>
              <w:rPr>
                <w:rFonts w:ascii="Calibri" w:hAnsi="Calibri" w:cs="Calibri" w:eastAsia="Calibri"/>
                <w:color w:val="1A1A1A"/>
                <w:sz w:val="20"/>
              </w:rPr>
              <w:t>SRE Lead, Platform Architect, CTO</w:t>
            </w:r>
          </w:p>
        </w:tc>
      </w:tr>
      <w:tr>
        <w:tc>
          <w:tcPr>
            <w:tcW w:type="dxa" w:w="3135"/>
            <w:shd w:val="clear" w:color="auto" w:fill="EEF2F7"/>
          </w:tcPr>
          <w:p>
            <w:r>
              <w:rPr>
                <w:rFonts w:ascii="Calibri" w:hAnsi="Calibri" w:cs="Calibri" w:eastAsia="Calibri"/>
                <w:color w:val="1A1A1A"/>
                <w:sz w:val="20"/>
              </w:rPr>
              <w:t>Illustrative Value Blueprint</w:t>
            </w:r>
          </w:p>
        </w:tc>
        <w:tc>
          <w:tcPr>
            <w:tcW w:type="dxa" w:w="3135"/>
            <w:shd w:val="clear" w:color="auto" w:fill="EEF2F7"/>
          </w:tcPr>
          <w:p>
            <w:r>
              <w:rPr>
                <w:rFonts w:ascii="Calibri" w:hAnsi="Calibri" w:cs="Calibri" w:eastAsia="Calibri"/>
                <w:color w:val="1A1A1A"/>
                <w:sz w:val="20"/>
              </w:rPr>
              <w:t>Customer-specific value model showing modelled opportunities for MTTR reduction, alert noise reduction, SLO improvement, log cost savings, and tool consolidation savings. All figures are illustrative and baseline-dependent - not guaranteed outcomes.</w:t>
            </w:r>
          </w:p>
        </w:tc>
        <w:tc>
          <w:tcPr>
            <w:tcW w:type="dxa" w:w="3135"/>
            <w:shd w:val="clear" w:color="auto" w:fill="EEF2F7"/>
          </w:tcPr>
          <w:p>
            <w:r>
              <w:rPr>
                <w:rFonts w:ascii="Calibri" w:hAnsi="Calibri" w:cs="Calibri" w:eastAsia="Calibri"/>
                <w:color w:val="1A1A1A"/>
                <w:sz w:val="20"/>
              </w:rPr>
              <w:t>Exec Sponsor, CFO, CTO</w:t>
            </w:r>
          </w:p>
        </w:tc>
      </w:tr>
      <w:tr>
        <w:tc>
          <w:tcPr>
            <w:tcW w:type="dxa" w:w="3135"/>
          </w:tcPr>
          <w:p>
            <w:r>
              <w:rPr>
                <w:rFonts w:ascii="Calibri" w:hAnsi="Calibri" w:cs="Calibri" w:eastAsia="Calibri"/>
                <w:color w:val="1A1A1A"/>
                <w:sz w:val="20"/>
              </w:rPr>
              <w:t>Tool Rationalization Recommendation</w:t>
            </w:r>
          </w:p>
        </w:tc>
        <w:tc>
          <w:tcPr>
            <w:tcW w:type="dxa" w:w="3135"/>
          </w:tcPr>
          <w:p>
            <w:r>
              <w:rPr>
                <w:rFonts w:ascii="Calibri" w:hAnsi="Calibri" w:cs="Calibri" w:eastAsia="Calibri"/>
                <w:color w:val="1A1A1A"/>
                <w:sz w:val="20"/>
              </w:rPr>
              <w:t>Prioritised recommendation to consolidate overlapping monitoring tools, standardize on OpenTelemetry, and reduce SaaS spend - with modelled illustrative savings range.</w:t>
            </w:r>
          </w:p>
        </w:tc>
        <w:tc>
          <w:tcPr>
            <w:tcW w:type="dxa" w:w="3135"/>
          </w:tcPr>
          <w:p>
            <w:r>
              <w:rPr>
                <w:rFonts w:ascii="Calibri" w:hAnsi="Calibri" w:cs="Calibri" w:eastAsia="Calibri"/>
                <w:color w:val="1A1A1A"/>
                <w:sz w:val="20"/>
              </w:rPr>
              <w:t>Platform Architect, FinOps Lead, CTO</w:t>
            </w:r>
          </w:p>
        </w:tc>
      </w:tr>
      <w:tr>
        <w:tc>
          <w:tcPr>
            <w:tcW w:type="dxa" w:w="3135"/>
            <w:shd w:val="clear" w:color="auto" w:fill="EEF2F7"/>
          </w:tcPr>
          <w:p>
            <w:r>
              <w:rPr>
                <w:rFonts w:ascii="Calibri" w:hAnsi="Calibri" w:cs="Calibri" w:eastAsia="Calibri"/>
                <w:color w:val="1A1A1A"/>
                <w:sz w:val="20"/>
              </w:rPr>
              <w:t>Data Observability Gap Report</w:t>
            </w:r>
          </w:p>
        </w:tc>
        <w:tc>
          <w:tcPr>
            <w:tcW w:type="dxa" w:w="3135"/>
            <w:shd w:val="clear" w:color="auto" w:fill="EEF2F7"/>
          </w:tcPr>
          <w:p>
            <w:r>
              <w:rPr>
                <w:rFonts w:ascii="Calibri" w:hAnsi="Calibri" w:cs="Calibri" w:eastAsia="Calibri"/>
                <w:color w:val="1A1A1A"/>
                <w:sz w:val="20"/>
              </w:rPr>
              <w:t>Assessment of O8-O9: data pipeline reliability, data product dashboard health, and freshness/lineage visibility gaps.</w:t>
            </w:r>
          </w:p>
        </w:tc>
        <w:tc>
          <w:tcPr>
            <w:tcW w:type="dxa" w:w="3135"/>
            <w:shd w:val="clear" w:color="auto" w:fill="EEF2F7"/>
          </w:tcPr>
          <w:p>
            <w:r>
              <w:rPr>
                <w:rFonts w:ascii="Calibri" w:hAnsi="Calibri" w:cs="Calibri" w:eastAsia="Calibri"/>
                <w:color w:val="1A1A1A"/>
                <w:sz w:val="20"/>
              </w:rPr>
              <w:t>Data Platform Lead, Engineering Manager</w:t>
            </w:r>
          </w:p>
        </w:tc>
      </w:tr>
      <w:tr>
        <w:tc>
          <w:tcPr>
            <w:tcW w:type="dxa" w:w="3135"/>
          </w:tcPr>
          <w:p>
            <w:r>
              <w:rPr>
                <w:rFonts w:ascii="Calibri" w:hAnsi="Calibri" w:cs="Calibri" w:eastAsia="Calibri"/>
                <w:color w:val="1A1A1A"/>
                <w:sz w:val="20"/>
              </w:rPr>
              <w:t>Prioritised 12-Month Transformation Roadmap</w:t>
            </w:r>
          </w:p>
        </w:tc>
        <w:tc>
          <w:tcPr>
            <w:tcW w:type="dxa" w:w="3135"/>
          </w:tcPr>
          <w:p>
            <w:r>
              <w:rPr>
                <w:rFonts w:ascii="Calibri" w:hAnsi="Calibri" w:cs="Calibri" w:eastAsia="Calibri"/>
                <w:color w:val="1A1A1A"/>
                <w:sz w:val="20"/>
              </w:rPr>
              <w:t>Phased roadmap: 0-90 days (quick wins), 90-180 days (capability build), 6-12 months (advanced maturity). Effort, complexity, and dependency rated per initiative.</w:t>
            </w:r>
          </w:p>
        </w:tc>
        <w:tc>
          <w:tcPr>
            <w:tcW w:type="dxa" w:w="3135"/>
          </w:tcPr>
          <w:p>
            <w:r>
              <w:rPr>
                <w:rFonts w:ascii="Calibri" w:hAnsi="Calibri" w:cs="Calibri" w:eastAsia="Calibri"/>
                <w:color w:val="1A1A1A"/>
                <w:sz w:val="20"/>
              </w:rPr>
              <w:t>Engineering Manager, CTO, Exec Sponsor</w:t>
            </w:r>
          </w:p>
        </w:tc>
      </w:tr>
      <w:tr>
        <w:tc>
          <w:tcPr>
            <w:tcW w:type="dxa" w:w="3135"/>
            <w:shd w:val="clear" w:color="auto" w:fill="EEF2F7"/>
          </w:tcPr>
          <w:p>
            <w:r>
              <w:rPr>
                <w:rFonts w:ascii="Calibri" w:hAnsi="Calibri" w:cs="Calibri" w:eastAsia="Calibri"/>
                <w:color w:val="1A1A1A"/>
                <w:sz w:val="20"/>
              </w:rPr>
              <w:t>Executive Summary Deck</w:t>
            </w:r>
          </w:p>
        </w:tc>
        <w:tc>
          <w:tcPr>
            <w:tcW w:type="dxa" w:w="3135"/>
            <w:shd w:val="clear" w:color="auto" w:fill="EEF2F7"/>
          </w:tcPr>
          <w:p>
            <w:r>
              <w:rPr>
                <w:rFonts w:ascii="Calibri" w:hAnsi="Calibri" w:cs="Calibri" w:eastAsia="Calibri"/>
                <w:color w:val="1A1A1A"/>
                <w:sz w:val="20"/>
              </w:rPr>
              <w:t>Board-ready slide deck covering maturity position, top risks, illustrative value, and recommended roadmap - ready for C-suite and board presentation.</w:t>
            </w:r>
          </w:p>
        </w:tc>
        <w:tc>
          <w:tcPr>
            <w:tcW w:type="dxa" w:w="3135"/>
            <w:shd w:val="clear" w:color="auto" w:fill="EEF2F7"/>
          </w:tcPr>
          <w:p>
            <w:r>
              <w:rPr>
                <w:rFonts w:ascii="Calibri" w:hAnsi="Calibri" w:cs="Calibri" w:eastAsia="Calibri"/>
                <w:color w:val="1A1A1A"/>
                <w:sz w:val="20"/>
              </w:rPr>
              <w:t>Exec Sponsor, CTO, Board</w:t>
            </w:r>
          </w:p>
        </w:tc>
      </w:tr>
      <w:tr>
        <w:tc>
          <w:tcPr>
            <w:tcW w:type="dxa" w:w="3135"/>
          </w:tcPr>
          <w:p>
            <w:r>
              <w:rPr>
                <w:rFonts w:ascii="Calibri" w:hAnsi="Calibri" w:cs="Calibri" w:eastAsia="Calibri"/>
                <w:color w:val="1A1A1A"/>
                <w:sz w:val="20"/>
              </w:rPr>
              <w:t>Scope &amp; Exclusions Charter (final signed copy)</w:t>
            </w:r>
          </w:p>
        </w:tc>
        <w:tc>
          <w:tcPr>
            <w:tcW w:type="dxa" w:w="3135"/>
          </w:tcPr>
          <w:p>
            <w:r>
              <w:rPr>
                <w:rFonts w:ascii="Calibri" w:hAnsi="Calibri" w:cs="Calibri" w:eastAsia="Calibri"/>
                <w:color w:val="1A1A1A"/>
                <w:sz w:val="20"/>
              </w:rPr>
              <w:t>Countersigned record of agreed scope, evidence submitted, dimensions assessed/excluded, and any conditions on illustrative value figures.</w:t>
            </w:r>
          </w:p>
        </w:tc>
        <w:tc>
          <w:tcPr>
            <w:tcW w:type="dxa" w:w="3135"/>
          </w:tcPr>
          <w:p>
            <w:r>
              <w:rPr>
                <w:rFonts w:ascii="Calibri" w:hAnsi="Calibri" w:cs="Calibri" w:eastAsia="Calibri"/>
                <w:color w:val="1A1A1A"/>
                <w:sz w:val="20"/>
              </w:rPr>
              <w:t>Exec Sponsor, BD, Legal</w:t>
            </w:r>
          </w:p>
        </w:tc>
      </w:tr>
    </w:tbl>
    <w:p/>
    <w:p>
      <w:r>
        <w:rPr>
          <w:rFonts w:ascii="Calibri" w:hAnsi="Calibri" w:cs="Calibri" w:eastAsia="Calibri"/>
          <w:i/>
          <w:color w:val="1A1A1A"/>
          <w:sz w:val="22"/>
        </w:rPr>
        <w:t>Note: The Illustrative Value Blueprint follows the same structure as the Vithi reference example produced for a comparable cloud services customer. All figures in that reference are modelled estimates - actual customer outcomes depend on their specific baseline and implementation decisions.</w:t>
      </w:r>
    </w:p>
    <w:p>
      <w:pPr>
        <w:pBdr>
          <w:bottom w:val="single" w:sz="6" w:space="1" w:color="AAAAAA"/>
        </w:pBdr>
      </w:pPr>
    </w:p>
    <w:p>
      <w:pPr>
        <w:spacing w:before="280" w:after="80"/>
      </w:pPr>
      <w:r>
        <w:rPr>
          <w:rFonts w:ascii="Calibri" w:hAnsi="Calibri" w:cs="Calibri" w:eastAsia="Calibri"/>
          <w:b/>
          <w:color w:val="1A1A1A"/>
          <w:sz w:val="22"/>
        </w:rPr>
        <w:t>Section 6: Exclusions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C00000"/>
          </w:tcPr>
          <w:p>
            <w:r>
              <w:rPr>
                <w:rFonts w:ascii="Calibri" w:hAnsi="Calibri" w:cs="Calibri" w:eastAsia="Calibri"/>
                <w:b/>
                <w:color w:val="FFFFFF"/>
                <w:sz w:val="20"/>
              </w:rPr>
              <w:t>Excluded Item</w:t>
            </w:r>
          </w:p>
        </w:tc>
        <w:tc>
          <w:tcPr>
            <w:tcW w:type="dxa" w:w="4703"/>
            <w:shd w:val="clear" w:color="auto" w:fill="C00000"/>
          </w:tcPr>
          <w:p>
            <w:r>
              <w:rPr>
                <w:rFonts w:ascii="Calibri" w:hAnsi="Calibri" w:cs="Calibri" w:eastAsia="Calibri"/>
                <w:b/>
                <w:color w:val="FFFFFF"/>
                <w:sz w:val="20"/>
              </w:rPr>
              <w:t>Reason / Where Covered</w:t>
            </w:r>
          </w:p>
        </w:tc>
      </w:tr>
      <w:tr>
        <w:tc>
          <w:tcPr>
            <w:tcW w:type="dxa" w:w="4703"/>
          </w:tcPr>
          <w:p>
            <w:r>
              <w:rPr>
                <w:rFonts w:ascii="Calibri" w:hAnsi="Calibri" w:cs="Calibri" w:eastAsia="Calibri"/>
                <w:color w:val="1A1A1A"/>
                <w:sz w:val="20"/>
              </w:rPr>
              <w:t>Implementation or remediation delivery</w:t>
            </w:r>
          </w:p>
        </w:tc>
        <w:tc>
          <w:tcPr>
            <w:tcW w:type="dxa" w:w="4703"/>
          </w:tcPr>
          <w:p>
            <w:r>
              <w:rPr>
                <w:rFonts w:ascii="Calibri" w:hAnsi="Calibri" w:cs="Calibri" w:eastAsia="Calibri"/>
                <w:color w:val="1A1A1A"/>
                <w:sz w:val="20"/>
              </w:rPr>
              <w:t>Separate delivery engagement - not part of diagnostic or assessment</w:t>
            </w:r>
          </w:p>
        </w:tc>
      </w:tr>
      <w:tr>
        <w:tc>
          <w:tcPr>
            <w:tcW w:type="dxa" w:w="4703"/>
            <w:shd w:val="clear" w:color="auto" w:fill="EEF2F7"/>
          </w:tcPr>
          <w:p>
            <w:r>
              <w:rPr>
                <w:rFonts w:ascii="Calibri" w:hAnsi="Calibri" w:cs="Calibri" w:eastAsia="Calibri"/>
                <w:color w:val="1A1A1A"/>
                <w:sz w:val="20"/>
              </w:rPr>
              <w:t>Tool procurement or vendor negotiation</w:t>
            </w:r>
          </w:p>
        </w:tc>
        <w:tc>
          <w:tcPr>
            <w:tcW w:type="dxa" w:w="4703"/>
            <w:shd w:val="clear" w:color="auto" w:fill="EEF2F7"/>
          </w:tcPr>
          <w:p>
            <w:r>
              <w:rPr>
                <w:rFonts w:ascii="Calibri" w:hAnsi="Calibri" w:cs="Calibri" w:eastAsia="Calibri"/>
                <w:color w:val="1A1A1A"/>
                <w:sz w:val="20"/>
              </w:rPr>
              <w:t>Out of scope for all assessment tracks</w:t>
            </w:r>
          </w:p>
        </w:tc>
      </w:tr>
      <w:tr>
        <w:tc>
          <w:tcPr>
            <w:tcW w:type="dxa" w:w="4703"/>
          </w:tcPr>
          <w:p>
            <w:r>
              <w:rPr>
                <w:rFonts w:ascii="Calibri" w:hAnsi="Calibri" w:cs="Calibri" w:eastAsia="Calibri"/>
                <w:color w:val="1A1A1A"/>
                <w:sz w:val="20"/>
              </w:rPr>
              <w:t>Architectural design of new monitoring systems</w:t>
            </w:r>
          </w:p>
        </w:tc>
        <w:tc>
          <w:tcPr>
            <w:tcW w:type="dxa" w:w="4703"/>
          </w:tcPr>
          <w:p>
            <w:r>
              <w:rPr>
                <w:rFonts w:ascii="Calibri" w:hAnsi="Calibri" w:cs="Calibri" w:eastAsia="Calibri"/>
                <w:color w:val="1A1A1A"/>
                <w:sz w:val="20"/>
              </w:rPr>
              <w:t>Separate architecture engagement required</w:t>
            </w:r>
          </w:p>
        </w:tc>
      </w:tr>
      <w:tr>
        <w:tc>
          <w:tcPr>
            <w:tcW w:type="dxa" w:w="4703"/>
            <w:shd w:val="clear" w:color="auto" w:fill="EEF2F7"/>
          </w:tcPr>
          <w:p>
            <w:r>
              <w:rPr>
                <w:rFonts w:ascii="Calibri" w:hAnsi="Calibri" w:cs="Calibri" w:eastAsia="Calibri"/>
                <w:color w:val="1A1A1A"/>
                <w:sz w:val="20"/>
              </w:rPr>
              <w:t>Ongoing managed service or 24/7 support</w:t>
            </w:r>
          </w:p>
        </w:tc>
        <w:tc>
          <w:tcPr>
            <w:tcW w:type="dxa" w:w="4703"/>
            <w:shd w:val="clear" w:color="auto" w:fill="EEF2F7"/>
          </w:tcPr>
          <w:p>
            <w:r>
              <w:rPr>
                <w:rFonts w:ascii="Calibri" w:hAnsi="Calibri" w:cs="Calibri" w:eastAsia="Calibri"/>
                <w:color w:val="1A1A1A"/>
                <w:sz w:val="20"/>
              </w:rPr>
              <w:t>Separate managed service agreement required</w:t>
            </w:r>
          </w:p>
        </w:tc>
      </w:tr>
      <w:tr>
        <w:tc>
          <w:tcPr>
            <w:tcW w:type="dxa" w:w="4703"/>
          </w:tcPr>
          <w:p>
            <w:r>
              <w:rPr>
                <w:rFonts w:ascii="Calibri" w:hAnsi="Calibri" w:cs="Calibri" w:eastAsia="Calibri"/>
                <w:color w:val="1A1A1A"/>
                <w:sz w:val="20"/>
              </w:rPr>
              <w:t>SLA guarantees on outcome targets</w:t>
            </w:r>
          </w:p>
        </w:tc>
        <w:tc>
          <w:tcPr>
            <w:tcW w:type="dxa" w:w="4703"/>
          </w:tcPr>
          <w:p>
            <w:r>
              <w:rPr>
                <w:rFonts w:ascii="Calibri" w:hAnsi="Calibri" w:cs="Calibri" w:eastAsia="Calibri"/>
                <w:color w:val="1A1A1A"/>
                <w:sz w:val="20"/>
              </w:rPr>
              <w:t>All value figures are illustrative and baseline-dependent - targets agreed after diagnostic</w:t>
            </w:r>
          </w:p>
        </w:tc>
      </w:tr>
      <w:tr>
        <w:tc>
          <w:tcPr>
            <w:tcW w:type="dxa" w:w="4703"/>
            <w:shd w:val="clear" w:color="auto" w:fill="EEF2F7"/>
          </w:tcPr>
          <w:p>
            <w:r>
              <w:rPr>
                <w:rFonts w:ascii="Calibri" w:hAnsi="Calibri" w:cs="Calibri" w:eastAsia="Calibri"/>
                <w:color w:val="1A1A1A"/>
                <w:sz w:val="20"/>
              </w:rPr>
              <w:t>Security penetration testing or vulnerability scans</w:t>
            </w:r>
          </w:p>
        </w:tc>
        <w:tc>
          <w:tcPr>
            <w:tcW w:type="dxa" w:w="4703"/>
            <w:shd w:val="clear" w:color="auto" w:fill="EEF2F7"/>
          </w:tcPr>
          <w:p>
            <w:r>
              <w:rPr>
                <w:rFonts w:ascii="Calibri" w:hAnsi="Calibri" w:cs="Calibri" w:eastAsia="Calibri"/>
                <w:color w:val="1A1A1A"/>
                <w:sz w:val="20"/>
              </w:rPr>
              <w:t>Separate security engagement; O7 covers audit governance review only</w:t>
            </w:r>
          </w:p>
        </w:tc>
      </w:tr>
      <w:tr>
        <w:tc>
          <w:tcPr>
            <w:tcW w:type="dxa" w:w="4703"/>
          </w:tcPr>
          <w:p>
            <w:r>
              <w:rPr>
                <w:rFonts w:ascii="Calibri" w:hAnsi="Calibri" w:cs="Calibri" w:eastAsia="Calibri"/>
                <w:color w:val="1A1A1A"/>
                <w:sz w:val="20"/>
              </w:rPr>
              <w:t>GDPR / data compliance legal advisory</w:t>
            </w:r>
          </w:p>
        </w:tc>
        <w:tc>
          <w:tcPr>
            <w:tcW w:type="dxa" w:w="4703"/>
          </w:tcPr>
          <w:p>
            <w:r>
              <w:rPr>
                <w:rFonts w:ascii="Calibri" w:hAnsi="Calibri" w:cs="Calibri" w:eastAsia="Calibri"/>
                <w:color w:val="1A1A1A"/>
                <w:sz w:val="20"/>
              </w:rPr>
              <w:t>Vithi assesses observability posture only - legal advisory is excluded</w:t>
            </w:r>
          </w:p>
        </w:tc>
      </w:tr>
      <w:tr>
        <w:tc>
          <w:tcPr>
            <w:tcW w:type="dxa" w:w="4703"/>
            <w:shd w:val="clear" w:color="auto" w:fill="EEF2F7"/>
          </w:tcPr>
          <w:p>
            <w:r>
              <w:rPr>
                <w:rFonts w:ascii="Calibri" w:hAnsi="Calibri" w:cs="Calibri" w:eastAsia="Calibri"/>
                <w:color w:val="1A1A1A"/>
                <w:sz w:val="20"/>
              </w:rPr>
              <w:t>Third-party vendor tool implementation</w:t>
            </w:r>
          </w:p>
        </w:tc>
        <w:tc>
          <w:tcPr>
            <w:tcW w:type="dxa" w:w="4703"/>
            <w:shd w:val="clear" w:color="auto" w:fill="EEF2F7"/>
          </w:tcPr>
          <w:p>
            <w:r>
              <w:rPr>
                <w:rFonts w:ascii="Calibri" w:hAnsi="Calibri" w:cs="Calibri" w:eastAsia="Calibri"/>
                <w:color w:val="1A1A1A"/>
                <w:sz w:val="20"/>
              </w:rPr>
              <w:t>Vithi provides recommendations; vendor implementation is separate</w:t>
            </w:r>
          </w:p>
        </w:tc>
      </w:tr>
      <w:tr>
        <w:tc>
          <w:tcPr>
            <w:tcW w:type="dxa" w:w="4703"/>
          </w:tcPr>
          <w:p>
            <w:r>
              <w:rPr>
                <w:rFonts w:ascii="Calibri" w:hAnsi="Calibri" w:cs="Calibri" w:eastAsia="Calibri"/>
                <w:color w:val="1A1A1A"/>
                <w:sz w:val="20"/>
              </w:rPr>
              <w:t>O11 (AI/ML Observability) if no AI estate present</w:t>
            </w:r>
          </w:p>
        </w:tc>
        <w:tc>
          <w:tcPr>
            <w:tcW w:type="dxa" w:w="4703"/>
          </w:tcPr>
          <w:p>
            <w:r>
              <w:rPr>
                <w:rFonts w:ascii="Calibri" w:hAnsi="Calibri" w:cs="Calibri" w:eastAsia="Calibri"/>
                <w:color w:val="1A1A1A"/>
                <w:sz w:val="20"/>
              </w:rPr>
              <w:t>Confirmed and noted in Scope &amp; Exclusions Charter at kick-off</w:t>
            </w:r>
          </w:p>
        </w:tc>
      </w:tr>
      <w:tr>
        <w:tc>
          <w:tcPr>
            <w:tcW w:type="dxa" w:w="4703"/>
            <w:shd w:val="clear" w:color="auto" w:fill="EEF2F7"/>
          </w:tcPr>
          <w:p>
            <w:r>
              <w:rPr>
                <w:rFonts w:ascii="Calibri" w:hAnsi="Calibri" w:cs="Calibri" w:eastAsia="Calibri"/>
                <w:color w:val="1A1A1A"/>
                <w:sz w:val="20"/>
              </w:rPr>
              <w:t>O12 (Sustainability) if no active sustainability KPI</w:t>
            </w:r>
          </w:p>
        </w:tc>
        <w:tc>
          <w:tcPr>
            <w:tcW w:type="dxa" w:w="4703"/>
            <w:shd w:val="clear" w:color="auto" w:fill="EEF2F7"/>
          </w:tcPr>
          <w:p>
            <w:r>
              <w:rPr>
                <w:rFonts w:ascii="Calibri" w:hAnsi="Calibri" w:cs="Calibri" w:eastAsia="Calibri"/>
                <w:color w:val="1A1A1A"/>
                <w:sz w:val="20"/>
              </w:rPr>
              <w:t>Confirmed and noted in Scope &amp; Exclusions Charter at kick-off</w:t>
            </w:r>
          </w:p>
        </w:tc>
      </w:tr>
    </w:tbl>
    <w:p>
      <w:pPr>
        <w:pBdr>
          <w:bottom w:val="single" w:sz="6" w:space="1" w:color="AAAAAA"/>
        </w:pBdr>
      </w:pPr>
    </w:p>
    <w:p>
      <w:pPr>
        <w:spacing w:before="280" w:after="80"/>
      </w:pPr>
      <w:r>
        <w:rPr>
          <w:rFonts w:ascii="Calibri" w:hAnsi="Calibri" w:cs="Calibri" w:eastAsia="Calibri"/>
          <w:b/>
          <w:color w:val="1A1A1A"/>
          <w:sz w:val="22"/>
        </w:rPr>
        <w:t>Section 7: Expected Effort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7375E"/>
          </w:tcPr>
          <w:p>
            <w:r>
              <w:rPr>
                <w:rFonts w:ascii="Calibri" w:hAnsi="Calibri" w:cs="Calibri" w:eastAsia="Calibri"/>
                <w:b/>
                <w:color w:val="FFFFFF"/>
                <w:sz w:val="20"/>
              </w:rPr>
              <w:t>Party</w:t>
            </w:r>
          </w:p>
        </w:tc>
        <w:tc>
          <w:tcPr>
            <w:tcW w:type="dxa" w:w="3135"/>
            <w:shd w:val="clear" w:color="auto" w:fill="17375E"/>
          </w:tcPr>
          <w:p>
            <w:r>
              <w:rPr>
                <w:rFonts w:ascii="Calibri" w:hAnsi="Calibri" w:cs="Calibri" w:eastAsia="Calibri"/>
                <w:b/>
                <w:color w:val="FFFFFF"/>
                <w:sz w:val="20"/>
              </w:rPr>
              <w:t>Activity</w:t>
            </w:r>
          </w:p>
        </w:tc>
        <w:tc>
          <w:tcPr>
            <w:tcW w:type="dxa" w:w="3135"/>
            <w:shd w:val="clear" w:color="auto" w:fill="17375E"/>
          </w:tcPr>
          <w:p>
            <w:r>
              <w:rPr>
                <w:rFonts w:ascii="Calibri" w:hAnsi="Calibri" w:cs="Calibri" w:eastAsia="Calibri"/>
                <w:b/>
                <w:color w:val="FFFFFF"/>
                <w:sz w:val="20"/>
              </w:rPr>
              <w:t>Estimated Effort</w:t>
            </w:r>
          </w:p>
        </w:tc>
      </w:tr>
      <w:tr>
        <w:tc>
          <w:tcPr>
            <w:tcW w:type="dxa" w:w="3135"/>
          </w:tcPr>
          <w:p>
            <w:r>
              <w:rPr>
                <w:rFonts w:ascii="Calibri" w:hAnsi="Calibri" w:cs="Calibri" w:eastAsia="Calibri"/>
                <w:color w:val="1A1A1A"/>
                <w:sz w:val="20"/>
              </w:rPr>
              <w:t>Vithi</w:t>
            </w:r>
          </w:p>
        </w:tc>
        <w:tc>
          <w:tcPr>
            <w:tcW w:type="dxa" w:w="3135"/>
          </w:tcPr>
          <w:p>
            <w:r>
              <w:rPr>
                <w:rFonts w:ascii="Calibri" w:hAnsi="Calibri" w:cs="Calibri" w:eastAsia="Calibri"/>
                <w:color w:val="1A1A1A"/>
                <w:sz w:val="20"/>
              </w:rPr>
              <w:t>Evidence review, scoring (O0-O12), gap analysis</w:t>
            </w:r>
          </w:p>
        </w:tc>
        <w:tc>
          <w:tcPr>
            <w:tcW w:type="dxa" w:w="3135"/>
          </w:tcPr>
          <w:p>
            <w:r>
              <w:rPr>
                <w:rFonts w:ascii="Calibri" w:hAnsi="Calibri" w:cs="Calibri" w:eastAsia="Calibri"/>
                <w:color w:val="1A1A1A"/>
                <w:sz w:val="20"/>
              </w:rPr>
              <w:t>~5 consultant-days</w:t>
            </w:r>
          </w:p>
        </w:tc>
      </w:tr>
      <w:tr>
        <w:tc>
          <w:tcPr>
            <w:tcW w:type="dxa" w:w="3135"/>
            <w:shd w:val="clear" w:color="auto" w:fill="EEF2F7"/>
          </w:tcPr>
          <w:p>
            <w:r>
              <w:rPr>
                <w:rFonts w:ascii="Calibri" w:hAnsi="Calibri" w:cs="Calibri" w:eastAsia="Calibri"/>
                <w:color w:val="1A1A1A"/>
                <w:sz w:val="20"/>
              </w:rPr>
              <w:t>Vithi</w:t>
            </w:r>
          </w:p>
        </w:tc>
        <w:tc>
          <w:tcPr>
            <w:tcW w:type="dxa" w:w="3135"/>
            <w:shd w:val="clear" w:color="auto" w:fill="EEF2F7"/>
          </w:tcPr>
          <w:p>
            <w:r>
              <w:rPr>
                <w:rFonts w:ascii="Calibri" w:hAnsi="Calibri" w:cs="Calibri" w:eastAsia="Calibri"/>
                <w:color w:val="1A1A1A"/>
                <w:sz w:val="20"/>
              </w:rPr>
              <w:t>Value modelling and Illustrative Value Blueprint</w:t>
            </w:r>
          </w:p>
        </w:tc>
        <w:tc>
          <w:tcPr>
            <w:tcW w:type="dxa" w:w="3135"/>
            <w:shd w:val="clear" w:color="auto" w:fill="EEF2F7"/>
          </w:tcPr>
          <w:p>
            <w:r>
              <w:rPr>
                <w:rFonts w:ascii="Calibri" w:hAnsi="Calibri" w:cs="Calibri" w:eastAsia="Calibri"/>
                <w:color w:val="1A1A1A"/>
                <w:sz w:val="20"/>
              </w:rPr>
              <w:t>~1.5 consultant-days</w:t>
            </w:r>
          </w:p>
        </w:tc>
      </w:tr>
      <w:tr>
        <w:tc>
          <w:tcPr>
            <w:tcW w:type="dxa" w:w="3135"/>
          </w:tcPr>
          <w:p>
            <w:r>
              <w:rPr>
                <w:rFonts w:ascii="Calibri" w:hAnsi="Calibri" w:cs="Calibri" w:eastAsia="Calibri"/>
                <w:color w:val="1A1A1A"/>
                <w:sz w:val="20"/>
              </w:rPr>
              <w:t>Vithi</w:t>
            </w:r>
          </w:p>
        </w:tc>
        <w:tc>
          <w:tcPr>
            <w:tcW w:type="dxa" w:w="3135"/>
          </w:tcPr>
          <w:p>
            <w:r>
              <w:rPr>
                <w:rFonts w:ascii="Calibri" w:hAnsi="Calibri" w:cs="Calibri" w:eastAsia="Calibri"/>
                <w:color w:val="1A1A1A"/>
                <w:sz w:val="20"/>
              </w:rPr>
              <w:t>Workshop facilitation (6 sessions)</w:t>
            </w:r>
          </w:p>
        </w:tc>
        <w:tc>
          <w:tcPr>
            <w:tcW w:type="dxa" w:w="3135"/>
          </w:tcPr>
          <w:p>
            <w:r>
              <w:rPr>
                <w:rFonts w:ascii="Calibri" w:hAnsi="Calibri" w:cs="Calibri" w:eastAsia="Calibri"/>
                <w:color w:val="1A1A1A"/>
                <w:sz w:val="20"/>
              </w:rPr>
              <w:t>~1.5 consultant-days</w:t>
            </w:r>
          </w:p>
        </w:tc>
      </w:tr>
      <w:tr>
        <w:tc>
          <w:tcPr>
            <w:tcW w:type="dxa" w:w="3135"/>
            <w:shd w:val="clear" w:color="auto" w:fill="EEF2F7"/>
          </w:tcPr>
          <w:p>
            <w:r>
              <w:rPr>
                <w:rFonts w:ascii="Calibri" w:hAnsi="Calibri" w:cs="Calibri" w:eastAsia="Calibri"/>
                <w:color w:val="1A1A1A"/>
                <w:sz w:val="20"/>
              </w:rPr>
              <w:t>Vithi</w:t>
            </w:r>
          </w:p>
        </w:tc>
        <w:tc>
          <w:tcPr>
            <w:tcW w:type="dxa" w:w="3135"/>
            <w:shd w:val="clear" w:color="auto" w:fill="EEF2F7"/>
          </w:tcPr>
          <w:p>
            <w:r>
              <w:rPr>
                <w:rFonts w:ascii="Calibri" w:hAnsi="Calibri" w:cs="Calibri" w:eastAsia="Calibri"/>
                <w:color w:val="1A1A1A"/>
                <w:sz w:val="20"/>
              </w:rPr>
              <w:t>Readout prep (Executive Deck + Heatmap + Roadmap)</w:t>
            </w:r>
          </w:p>
        </w:tc>
        <w:tc>
          <w:tcPr>
            <w:tcW w:type="dxa" w:w="3135"/>
            <w:shd w:val="clear" w:color="auto" w:fill="EEF2F7"/>
          </w:tcPr>
          <w:p>
            <w:r>
              <w:rPr>
                <w:rFonts w:ascii="Calibri" w:hAnsi="Calibri" w:cs="Calibri" w:eastAsia="Calibri"/>
                <w:color w:val="1A1A1A"/>
                <w:sz w:val="20"/>
              </w:rPr>
              <w:t>~1.5 consultant-days</w:t>
            </w:r>
          </w:p>
        </w:tc>
      </w:tr>
      <w:tr>
        <w:tc>
          <w:tcPr>
            <w:tcW w:type="dxa" w:w="3135"/>
          </w:tcPr>
          <w:p>
            <w:r>
              <w:rPr>
                <w:rFonts w:ascii="Calibri" w:hAnsi="Calibri" w:cs="Calibri" w:eastAsia="Calibri"/>
                <w:color w:val="1A1A1A"/>
                <w:sz w:val="20"/>
              </w:rPr>
              <w:t>Vithi</w:t>
            </w:r>
          </w:p>
        </w:tc>
        <w:tc>
          <w:tcPr>
            <w:tcW w:type="dxa" w:w="3135"/>
          </w:tcPr>
          <w:p>
            <w:r>
              <w:rPr>
                <w:rFonts w:ascii="Calibri" w:hAnsi="Calibri" w:cs="Calibri" w:eastAsia="Calibri"/>
                <w:color w:val="1A1A1A"/>
                <w:sz w:val="20"/>
              </w:rPr>
              <w:t>Total</w:t>
            </w:r>
          </w:p>
        </w:tc>
        <w:tc>
          <w:tcPr>
            <w:tcW w:type="dxa" w:w="3135"/>
          </w:tcPr>
          <w:p>
            <w:r>
              <w:rPr>
                <w:rFonts w:ascii="Calibri" w:hAnsi="Calibri" w:cs="Calibri" w:eastAsia="Calibri"/>
                <w:color w:val="1A1A1A"/>
                <w:sz w:val="20"/>
              </w:rPr>
              <w:t>~9-10 consultant-days</w:t>
            </w:r>
          </w:p>
        </w:tc>
      </w:tr>
      <w:tr>
        <w:tc>
          <w:tcPr>
            <w:tcW w:type="dxa" w:w="3135"/>
            <w:shd w:val="clear" w:color="auto" w:fill="EEF2F7"/>
          </w:tcPr>
          <w:p>
            <w:r>
              <w:rPr>
                <w:rFonts w:ascii="Calibri" w:hAnsi="Calibri" w:cs="Calibri" w:eastAsia="Calibri"/>
                <w:color w:val="1A1A1A"/>
                <w:sz w:val="20"/>
              </w:rPr>
              <w:t>Customer</w:t>
            </w:r>
          </w:p>
        </w:tc>
        <w:tc>
          <w:tcPr>
            <w:tcW w:type="dxa" w:w="3135"/>
            <w:shd w:val="clear" w:color="auto" w:fill="EEF2F7"/>
          </w:tcPr>
          <w:p>
            <w:r>
              <w:rPr>
                <w:rFonts w:ascii="Calibri" w:hAnsi="Calibri" w:cs="Calibri" w:eastAsia="Calibri"/>
                <w:color w:val="1A1A1A"/>
                <w:sz w:val="20"/>
              </w:rPr>
              <w:t>Evidence provision (async, EV01-EV13)</w:t>
            </w:r>
          </w:p>
        </w:tc>
        <w:tc>
          <w:tcPr>
            <w:tcW w:type="dxa" w:w="3135"/>
            <w:shd w:val="clear" w:color="auto" w:fill="EEF2F7"/>
          </w:tcPr>
          <w:p>
            <w:r>
              <w:rPr>
                <w:rFonts w:ascii="Calibri" w:hAnsi="Calibri" w:cs="Calibri" w:eastAsia="Calibri"/>
                <w:color w:val="1A1A1A"/>
                <w:sz w:val="20"/>
              </w:rPr>
              <w:t>~6-8 hours</w:t>
            </w:r>
          </w:p>
        </w:tc>
      </w:tr>
      <w:tr>
        <w:tc>
          <w:tcPr>
            <w:tcW w:type="dxa" w:w="3135"/>
          </w:tcPr>
          <w:p>
            <w:r>
              <w:rPr>
                <w:rFonts w:ascii="Calibri" w:hAnsi="Calibri" w:cs="Calibri" w:eastAsia="Calibri"/>
                <w:color w:val="1A1A1A"/>
                <w:sz w:val="20"/>
              </w:rPr>
              <w:t>Customer</w:t>
            </w:r>
          </w:p>
        </w:tc>
        <w:tc>
          <w:tcPr>
            <w:tcW w:type="dxa" w:w="3135"/>
          </w:tcPr>
          <w:p>
            <w:r>
              <w:rPr>
                <w:rFonts w:ascii="Calibri" w:hAnsi="Calibri" w:cs="Calibri" w:eastAsia="Calibri"/>
                <w:color w:val="1A1A1A"/>
                <w:sz w:val="20"/>
              </w:rPr>
              <w:t>Scoring workshops (O0-O12, 4 sessions)</w:t>
            </w:r>
          </w:p>
        </w:tc>
        <w:tc>
          <w:tcPr>
            <w:tcW w:type="dxa" w:w="3135"/>
          </w:tcPr>
          <w:p>
            <w:r>
              <w:rPr>
                <w:rFonts w:ascii="Calibri" w:hAnsi="Calibri" w:cs="Calibri" w:eastAsia="Calibri"/>
                <w:color w:val="1A1A1A"/>
                <w:sz w:val="20"/>
              </w:rPr>
              <w:t>~6 hours</w:t>
            </w:r>
          </w:p>
        </w:tc>
      </w:tr>
      <w:tr>
        <w:tc>
          <w:tcPr>
            <w:tcW w:type="dxa" w:w="3135"/>
            <w:shd w:val="clear" w:color="auto" w:fill="EEF2F7"/>
          </w:tcPr>
          <w:p>
            <w:r>
              <w:rPr>
                <w:rFonts w:ascii="Calibri" w:hAnsi="Calibri" w:cs="Calibri" w:eastAsia="Calibri"/>
                <w:color w:val="1A1A1A"/>
                <w:sz w:val="20"/>
              </w:rPr>
              <w:t>Customer</w:t>
            </w:r>
          </w:p>
        </w:tc>
        <w:tc>
          <w:tcPr>
            <w:tcW w:type="dxa" w:w="3135"/>
            <w:shd w:val="clear" w:color="auto" w:fill="EEF2F7"/>
          </w:tcPr>
          <w:p>
            <w:r>
              <w:rPr>
                <w:rFonts w:ascii="Calibri" w:hAnsi="Calibri" w:cs="Calibri" w:eastAsia="Calibri"/>
                <w:color w:val="1A1A1A"/>
                <w:sz w:val="20"/>
              </w:rPr>
              <w:t>Value modelling workshops (2 sessions)</w:t>
            </w:r>
          </w:p>
        </w:tc>
        <w:tc>
          <w:tcPr>
            <w:tcW w:type="dxa" w:w="3135"/>
            <w:shd w:val="clear" w:color="auto" w:fill="EEF2F7"/>
          </w:tcPr>
          <w:p>
            <w:r>
              <w:rPr>
                <w:rFonts w:ascii="Calibri" w:hAnsi="Calibri" w:cs="Calibri" w:eastAsia="Calibri"/>
                <w:color w:val="1A1A1A"/>
                <w:sz w:val="20"/>
              </w:rPr>
              <w:t>~2 hours</w:t>
            </w:r>
          </w:p>
        </w:tc>
      </w:tr>
      <w:tr>
        <w:tc>
          <w:tcPr>
            <w:tcW w:type="dxa" w:w="3135"/>
          </w:tcPr>
          <w:p>
            <w:r>
              <w:rPr>
                <w:rFonts w:ascii="Calibri" w:hAnsi="Calibri" w:cs="Calibri" w:eastAsia="Calibri"/>
                <w:color w:val="1A1A1A"/>
                <w:sz w:val="20"/>
              </w:rPr>
              <w:t>Customer</w:t>
            </w:r>
          </w:p>
        </w:tc>
        <w:tc>
          <w:tcPr>
            <w:tcW w:type="dxa" w:w="3135"/>
          </w:tcPr>
          <w:p>
            <w:r>
              <w:rPr>
                <w:rFonts w:ascii="Calibri" w:hAnsi="Calibri" w:cs="Calibri" w:eastAsia="Calibri"/>
                <w:color w:val="1A1A1A"/>
                <w:sz w:val="20"/>
              </w:rPr>
              <w:t>Kick-off + Stakeholder validation + Readout</w:t>
            </w:r>
          </w:p>
        </w:tc>
        <w:tc>
          <w:tcPr>
            <w:tcW w:type="dxa" w:w="3135"/>
          </w:tcPr>
          <w:p>
            <w:r>
              <w:rPr>
                <w:rFonts w:ascii="Calibri" w:hAnsi="Calibri" w:cs="Calibri" w:eastAsia="Calibri"/>
                <w:color w:val="1A1A1A"/>
                <w:sz w:val="20"/>
              </w:rPr>
              <w:t>~5-6 hours</w:t>
            </w:r>
          </w:p>
        </w:tc>
      </w:tr>
      <w:tr>
        <w:tc>
          <w:tcPr>
            <w:tcW w:type="dxa" w:w="3135"/>
            <w:shd w:val="clear" w:color="auto" w:fill="EEF2F7"/>
          </w:tcPr>
          <w:p>
            <w:r>
              <w:rPr>
                <w:rFonts w:ascii="Calibri" w:hAnsi="Calibri" w:cs="Calibri" w:eastAsia="Calibri"/>
                <w:color w:val="1A1A1A"/>
                <w:sz w:val="20"/>
              </w:rPr>
              <w:t>Customer</w:t>
            </w:r>
          </w:p>
        </w:tc>
        <w:tc>
          <w:tcPr>
            <w:tcW w:type="dxa" w:w="3135"/>
            <w:shd w:val="clear" w:color="auto" w:fill="EEF2F7"/>
          </w:tcPr>
          <w:p>
            <w:r>
              <w:rPr>
                <w:rFonts w:ascii="Calibri" w:hAnsi="Calibri" w:cs="Calibri" w:eastAsia="Calibri"/>
                <w:color w:val="1A1A1A"/>
                <w:sz w:val="20"/>
              </w:rPr>
              <w:t>Total</w:t>
            </w:r>
          </w:p>
        </w:tc>
        <w:tc>
          <w:tcPr>
            <w:tcW w:type="dxa" w:w="3135"/>
            <w:shd w:val="clear" w:color="auto" w:fill="EEF2F7"/>
          </w:tcPr>
          <w:p>
            <w:r>
              <w:rPr>
                <w:rFonts w:ascii="Calibri" w:hAnsi="Calibri" w:cs="Calibri" w:eastAsia="Calibri"/>
                <w:color w:val="1A1A1A"/>
                <w:sz w:val="20"/>
              </w:rPr>
              <w:t>~20-25 hours across 4 weeks</w:t>
            </w:r>
          </w:p>
        </w:tc>
      </w:tr>
    </w:tbl>
    <w:p/>
    <w:p>
      <w:pPr>
        <w:pStyle w:val="ListBullet"/>
        <w:ind w:left="360"/>
      </w:pPr>
      <w:r>
        <w:rPr>
          <w:rFonts w:ascii="Calibri" w:hAnsi="Calibri" w:cs="Calibri" w:eastAsia="Calibri"/>
          <w:color w:val="1A1A1A"/>
          <w:sz w:val="22"/>
        </w:rPr>
        <w:t>Pricing model: Fixed-scope SOW provided after Pre-Discovery Intake; T&amp;M option available for complex or multi-cloud estates</w:t>
      </w:r>
    </w:p>
    <w:p>
      <w:pPr>
        <w:pStyle w:val="ListBullet"/>
        <w:ind w:left="360"/>
      </w:pPr>
      <w:r>
        <w:rPr>
          <w:rFonts w:ascii="Calibri" w:hAnsi="Calibri" w:cs="Calibri" w:eastAsia="Calibri"/>
          <w:color w:val="1A1A1A"/>
          <w:sz w:val="22"/>
        </w:rPr>
        <w:t>Customers upgrading from Track A (Rapid Diagnostic): EV01-EV06 evidence credited; O0-O6 scores carried forward - reducing Vithi effort by approximately 2 days</w:t>
      </w:r>
    </w:p>
    <w:p>
      <w:pPr>
        <w:pStyle w:val="ListBullet"/>
        <w:ind w:left="360"/>
      </w:pPr>
      <w:r>
        <w:rPr>
          <w:rFonts w:ascii="Calibri" w:hAnsi="Calibri" w:cs="Calibri" w:eastAsia="Calibri"/>
          <w:color w:val="1A1A1A"/>
          <w:sz w:val="22"/>
        </w:rPr>
        <w:t>Formal SOW issued and signed before engagement begins - no engagement starts without a countersigned SOW and completed Pre-Discovery Intake Form</w:t>
      </w:r>
    </w:p>
    <w:p>
      <w:pPr>
        <w:pBdr>
          <w:bottom w:val="single" w:sz="6" w:space="1" w:color="AAAAAA"/>
        </w:pBdr>
      </w:pPr>
    </w:p>
    <w:p>
      <w:pPr>
        <w:jc w:val="center"/>
      </w:pPr>
      <w:r>
        <w:rPr>
          <w:rFonts w:ascii="Calibri" w:hAnsi="Calibri" w:cs="Calibri" w:eastAsia="Calibri"/>
          <w:i/>
          <w:color w:val="1A1A1A"/>
          <w:sz w:val="22"/>
        </w:rPr>
        <w:t>Vithi Consulting  |  Observability Practice  |  Pre-requisite: Vithi Observability BD Pre-Discovery Intake Form must be completed before engagement begins.  |  Upgrade path: Customers completing Track A (Rapid Diagnostic) may upgrade to Track B with evidence and scoring credit.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