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cs="Calibri" w:eastAsia="Calibri"/>
          <w:b/>
          <w:color w:val="1A1A1A"/>
          <w:sz w:val="22"/>
        </w:rPr>
        <w:t>VITHI IT SOLUTIONS — OPERATIONAL INTELLIGENCE &amp; SRE PRACTICE</w:t>
      </w:r>
    </w:p>
    <w:p>
      <w:pPr>
        <w:spacing w:before="0" w:after="60"/>
      </w:pPr>
      <w:r>
        <w:rPr>
          <w:rFonts w:ascii="Calibri" w:hAnsi="Calibri" w:cs="Calibri" w:eastAsia="Calibri"/>
          <w:b/>
          <w:color w:val="1A1A1A"/>
          <w:sz w:val="22"/>
        </w:rPr>
        <w:t>Observability Assessment Kickoff Scope &amp; Exclusions Charter</w:t>
      </w:r>
    </w:p>
    <w:p>
      <w:pPr>
        <w:spacing w:before="0" w:after="160"/>
      </w:pPr>
      <w:r>
        <w:rPr>
          <w:rFonts w:ascii="Calibri" w:hAnsi="Calibri" w:cs="Calibri" w:eastAsia="Calibri"/>
          <w:color w:val="1A1A1A"/>
          <w:sz w:val="22"/>
        </w:rPr>
        <w:t>Formal Engagement Alignment: Target Estate, Authorized Evidence, Stakeholder Commitments, Security Protocols &amp; Contractual Exclusions</w:t>
      </w:r>
    </w:p>
    <w:p>
      <w:pPr>
        <w:keepNext/>
        <w:spacing w:before="220" w:after="60"/>
      </w:pPr>
      <w:r>
        <w:rPr>
          <w:rFonts w:ascii="Calibri" w:hAnsi="Calibri" w:cs="Calibri" w:eastAsia="Calibri"/>
          <w:b/>
          <w:color w:val="1A1A1A"/>
          <w:sz w:val="22"/>
        </w:rPr>
        <w:t>1. Engagement Authorization &amp; Administrative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Customer Enterprise: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[ Customer Legal Name ]</w:t>
            </w:r>
          </w:p>
        </w:tc>
        <w:tc>
          <w:tcPr>
            <w:tcW w:type="dxa" w:w="2556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Engagement Reference: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VITHI-OBS-[YYYY]-[001]</w:t>
            </w:r>
          </w:p>
        </w:tc>
      </w:tr>
      <w:tr>
        <w:tc>
          <w:tcPr>
            <w:tcW w:type="dxa" w:w="2556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Executive Sponsor: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[ Sponsor Name &amp; Title ]</w:t>
            </w:r>
          </w:p>
        </w:tc>
        <w:tc>
          <w:tcPr>
            <w:tcW w:type="dxa" w:w="2556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Vithi Lead Architect: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[ Lead Principal SRE ]</w:t>
            </w:r>
          </w:p>
        </w:tc>
      </w:tr>
      <w:tr>
        <w:tc>
          <w:tcPr>
            <w:tcW w:type="dxa" w:w="2556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Authorized Track: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[ ] Track A: Rapid Diagnostic (2 Weeks)</w:t>
              <w:br/>
              <w:t>[ ] Track B: Full Assessment (4 Weeks)</w:t>
            </w:r>
          </w:p>
        </w:tc>
        <w:tc>
          <w:tcPr>
            <w:tcW w:type="dxa" w:w="2556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Kickoff &amp; Readout Dates: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Kickoff: [ DD-MMM-YYYY ]</w:t>
              <w:br/>
              <w:t>Readout: [ DD-MMM-YYYY ]</w:t>
            </w:r>
          </w:p>
        </w:tc>
      </w:tr>
      <w:tr>
        <w:tc>
          <w:tcPr>
            <w:tcW w:type="dxa" w:w="2556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Primary Cloud Platform: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[ ] AWS Multi-Account  [ ] Hybrid</w:t>
              <w:br/>
              <w:t>Primary Regions: [ eu-west-1, us-east-1 ]</w:t>
            </w:r>
          </w:p>
        </w:tc>
        <w:tc>
          <w:tcPr>
            <w:tcW w:type="dxa" w:w="2556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Assessment Status:</w:t>
            </w:r>
          </w:p>
        </w:tc>
        <w:tc>
          <w:tcPr>
            <w:tcW w:type="dxa" w:w="2556"/>
            <w:shd w:fill="F0FDF4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ACTIVE KICKOFF — SCOPE LOCKED</w:t>
            </w:r>
          </w:p>
        </w:tc>
      </w:tr>
    </w:tbl>
    <w:p>
      <w:pPr>
        <w:keepNext/>
        <w:spacing w:before="220" w:after="60"/>
      </w:pPr>
      <w:r>
        <w:rPr>
          <w:rFonts w:ascii="Calibri" w:hAnsi="Calibri" w:cs="Calibri" w:eastAsia="Calibri"/>
          <w:b/>
          <w:color w:val="1A1A1A"/>
          <w:sz w:val="22"/>
        </w:rPr>
        <w:t>2. In-Scope Estate Boundaries &amp; System Inventory</w:t>
      </w:r>
    </w:p>
    <w:p>
      <w:pPr>
        <w:spacing w:before="0" w:after="80"/>
      </w:pPr>
      <w:r>
        <w:rPr>
          <w:rFonts w:ascii="Calibri" w:hAnsi="Calibri" w:cs="Calibri" w:eastAsia="Calibri"/>
          <w:color w:val="1A1A1A"/>
          <w:sz w:val="22"/>
        </w:rPr>
        <w:t>The diagnostic is strictly restricted to the authorized production services, accounts, and data pipelines documented below. Any infrastructure or services not explicitly listed here are excluded from assessment.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Scope Category</w:t>
            </w:r>
          </w:p>
        </w:tc>
        <w:tc>
          <w:tcPr>
            <w:tcW w:type="dxa" w:w="255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Authorized In-Scope Items</w:t>
            </w:r>
          </w:p>
        </w:tc>
        <w:tc>
          <w:tcPr>
            <w:tcW w:type="dxa" w:w="255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Environment / Cluster</w:t>
            </w:r>
          </w:p>
        </w:tc>
        <w:tc>
          <w:tcPr>
            <w:tcW w:type="dxa" w:w="255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Governing Squad Owner</w:t>
            </w:r>
          </w:p>
        </w:tc>
      </w:tr>
      <w:tr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Tier-1 Core Services / APIs</w:t>
              <w:br/>
              <w:t>(Max 3 for Rapid; up to 10 for Full)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1. Service: [ e.g., Checkout &amp; Payment Gateway API ]</w:t>
              <w:br/>
              <w:t>2. Service: [ e.g., Customer Authentication Service ]</w:t>
              <w:br/>
              <w:t>3. Service: [ e.g., Transaction Ledger Worker ]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Production (EKS / ECS / Lambda)</w:t>
              <w:br/>
              <w:t>Cluster: [ prod-eks-01 ]</w:t>
              <w:br/>
              <w:t>VPC: [ vpc-prod-core ]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Squad Lead: [ Name ]</w:t>
              <w:br/>
              <w:t>Tech Lead: [ Name ]</w:t>
            </w:r>
          </w:p>
        </w:tc>
      </w:tr>
      <w:tr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AWS Accounts Included</w:t>
              <w:br/>
              <w:t>(Production Estates Only)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AWS Account ID: [ 123456789012 - Prod Apps ]</w:t>
              <w:br/>
              <w:t>AWS Account ID: [ 987654321098 - Prod Data ]</w:t>
              <w:br/>
              <w:t>(Note: Dev/QA/Sandbox accounts are strictly excluded)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Region: [ eu-west-1, us-east-1 ]</w:t>
              <w:br/>
              <w:t>Security Audit Role Configured:</w:t>
              <w:br/>
              <w:t>[ ] Yes  [ ] In Progress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Cloud Platform Lead:</w:t>
              <w:br/>
              <w:t>[ Name ]</w:t>
            </w:r>
          </w:p>
        </w:tc>
      </w:tr>
      <w:tr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Modern Data Platform</w:t>
              <w:br/>
              <w:t>(Batch / Streaming Pipelines)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Data Pipelines Included: [ ] YES  [ ] NO (Excluded in Rapid)</w:t>
              <w:br/>
              <w:t>Airflow DAGs: [ e.g., daily_wealth_pnl_etl, fraud_scoring ]</w:t>
              <w:br/>
              <w:t>Kafka Topics: [ e.g., payment-events-prod (3 partitions) ]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Production Snowflake / Redshift</w:t>
              <w:br/>
              <w:t>Cluster: [ prod-data-platform ]</w:t>
            </w:r>
          </w:p>
        </w:tc>
        <w:tc>
          <w:tcPr>
            <w:tcW w:type="dxa" w:w="25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Data Engineering Lead:</w:t>
              <w:br/>
              <w:t>[ Name ]</w:t>
            </w:r>
          </w:p>
        </w:tc>
      </w:tr>
      <w:tr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AI / LLM Gateway Workloads</w:t>
              <w:br/>
              <w:t>(Generative AI Telemetry)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AI Models Included: [ ] YES  [ ] NO (Excluded in Rapid)</w:t>
              <w:br/>
              <w:t>Workloads: [ e.g., Amazon Bedrock Customer Bot / OpenSearch RAG ]</w:t>
              <w:br/>
              <w:t>Scope: Token cost attribution, inference latency, hallucination SLIs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Production AWS Bedrock</w:t>
              <w:br/>
              <w:t>Endpoint: [ anthropic.claude-v2 ]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AI / MLOps Lead:</w:t>
              <w:br/>
              <w:t>[ Name ]</w:t>
            </w:r>
          </w:p>
        </w:tc>
      </w:tr>
    </w:tbl>
    <w:p>
      <w:pPr>
        <w:keepNext/>
        <w:spacing w:before="220" w:after="60"/>
      </w:pPr>
      <w:r>
        <w:rPr>
          <w:rFonts w:ascii="Calibri" w:hAnsi="Calibri" w:cs="Calibri" w:eastAsia="Calibri"/>
          <w:b/>
          <w:color w:val="1A1A1A"/>
          <w:sz w:val="22"/>
        </w:rPr>
        <w:t>3. Authorized Observability Tooling &amp; Evidence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Tooling Category</w:t>
            </w:r>
          </w:p>
        </w:tc>
        <w:tc>
          <w:tcPr>
            <w:tcW w:type="dxa" w:w="340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Active Deployed Products in Scope</w:t>
            </w:r>
          </w:p>
        </w:tc>
        <w:tc>
          <w:tcPr>
            <w:tcW w:type="dxa" w:w="340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Authorized Evidence Artifacts (EV01–EV13)</w:t>
            </w:r>
          </w:p>
        </w:tc>
      </w:tr>
      <w:t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Monitoring, APM &amp; Logging Stack</w:t>
              <w:br/>
              <w:t>(Read-Only Access Authorized)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APM / Tracing: [ ] Datadog  [ ] Dynatrace  [ ] AWS X-Ray  [ ] OpenTelemetry</w:t>
              <w:br/>
              <w:t>Logs: [ ] Splunk  [ ] CloudWatch Logs  [ ] Elastic/OpenSearch</w:t>
              <w:br/>
              <w:t>Metrics: [ ] Prometheus / Grafana  [ ] CloudWatch Metrics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[X] EV01: Service Catalog &amp; Owner Registry</w:t>
              <w:br/>
              <w:t>[X] EV02: Dynamic Architecture Topology</w:t>
              <w:br/>
              <w:t>[X] EV03: Agent &amp; Collector Ingestion Config</w:t>
              <w:br/>
              <w:t>[X] EV06: Primary Live Dashboards</w:t>
            </w:r>
          </w:p>
        </w:tc>
      </w:tr>
      <w:t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Alerting, Incident &amp; SRE Governance</w:t>
              <w:br/>
              <w:t>(Logs &amp; Configuration Exports)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Alerting Queue: [ ] PagerDuty  [ ] Opsgenie  [ ] CloudWatch Alarms</w:t>
              <w:br/>
              <w:t>Incident Mgmt: [ ] ServiceNow  [ ] Jira Service Desk</w:t>
              <w:br/>
              <w:t>Runbook Store: [ ] Confluence  [ ] GitHub / GitLab Wiki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[X] EV04: 90-Day PagerDuty/Alert Log CSV</w:t>
              <w:br/>
              <w:t>[X] EV05: On-Call Rotations &amp; Top-10 Runbooks</w:t>
              <w:br/>
              <w:t>[X] EV07: SLI/SLO Registry (Full track only)</w:t>
              <w:br/>
              <w:t>[X] EV08: Incident Post-Mortems (Full track only)</w:t>
            </w:r>
          </w:p>
        </w:tc>
      </w:tr>
    </w:tbl>
    <w:p>
      <w:pPr>
        <w:keepNext/>
        <w:spacing w:before="220" w:after="60"/>
      </w:pPr>
      <w:r>
        <w:rPr>
          <w:rFonts w:ascii="Calibri" w:hAnsi="Calibri" w:cs="Calibri" w:eastAsia="Calibri"/>
          <w:b/>
          <w:color w:val="1A1A1A"/>
          <w:sz w:val="22"/>
        </w:rPr>
        <w:t>4. Security Protocol: Zero-Disruption &amp; 100% Read-Only Access Model</w:t>
      </w:r>
    </w:p>
    <w:p>
      <w:pPr>
        <w:spacing w:before="0" w:after="80"/>
      </w:pPr>
      <w:r>
        <w:rPr>
          <w:rFonts w:ascii="Calibri" w:hAnsi="Calibri" w:cs="Calibri" w:eastAsia="Calibri"/>
          <w:color w:val="1A1A1A"/>
          <w:sz w:val="22"/>
        </w:rPr>
        <w:t>Vithi executes all assessment activities under strict enterprise security safeguards to ensure zero operational risk to running workloads:</w:t>
      </w:r>
    </w:p>
    <w:p>
      <w:pPr>
        <w:spacing w:before="20" w:after="20"/>
      </w:pPr>
      <w:r>
        <w:rPr>
          <w:rFonts w:ascii="Calibri" w:hAnsi="Calibri" w:cs="Calibri" w:eastAsia="Calibri"/>
          <w:b/>
          <w:color w:val="1A1A1A"/>
          <w:sz w:val="22"/>
        </w:rPr>
        <w:t>• 1. Zero Agent Installations:</w:t>
      </w:r>
      <w:r>
        <w:rPr>
          <w:rFonts w:ascii="Calibri" w:hAnsi="Calibri" w:cs="Calibri" w:eastAsia="Calibri"/>
          <w:color w:val="1A1A1A"/>
          <w:sz w:val="22"/>
        </w:rPr>
        <w:t xml:space="preserve"> Vithi will NOT install any proprietary agents, daemons, collectors, or background scripts on customer compute nodes, containers, or virtual machines.</w:t>
      </w:r>
    </w:p>
    <w:p>
      <w:pPr>
        <w:spacing w:before="20" w:after="20"/>
      </w:pPr>
      <w:r>
        <w:rPr>
          <w:rFonts w:ascii="Calibri" w:hAnsi="Calibri" w:cs="Calibri" w:eastAsia="Calibri"/>
          <w:b/>
          <w:color w:val="1A1A1A"/>
          <w:sz w:val="22"/>
        </w:rPr>
        <w:t>• 2. AWS SecurityAudit Read-Only Role:</w:t>
      </w:r>
      <w:r>
        <w:rPr>
          <w:rFonts w:ascii="Calibri" w:hAnsi="Calibri" w:cs="Calibri" w:eastAsia="Calibri"/>
          <w:color w:val="1A1A1A"/>
          <w:sz w:val="22"/>
        </w:rPr>
        <w:t xml:space="preserve"> Cloud inspection operates exclusively via an AWS IAM Role attached to the AWS-managed "SecurityAudit" policy (read-only metadata, alarm configs, CloudWatch metrics, CloudTrail logs). No write, create, or delete IAM permissions are requested or accepted.</w:t>
      </w:r>
    </w:p>
    <w:p>
      <w:pPr>
        <w:spacing w:before="20" w:after="20"/>
      </w:pPr>
      <w:r>
        <w:rPr>
          <w:rFonts w:ascii="Calibri" w:hAnsi="Calibri" w:cs="Calibri" w:eastAsia="Calibri"/>
          <w:b/>
          <w:color w:val="1A1A1A"/>
          <w:sz w:val="22"/>
        </w:rPr>
        <w:t>• 3. Zero Customer Data Inspection:</w:t>
      </w:r>
      <w:r>
        <w:rPr>
          <w:rFonts w:ascii="Calibri" w:hAnsi="Calibri" w:cs="Calibri" w:eastAsia="Calibri"/>
          <w:color w:val="1A1A1A"/>
          <w:sz w:val="22"/>
        </w:rPr>
        <w:t xml:space="preserve"> Vithi consultants audit telemetry pipelines, configuration files, and alert logs only. Production application databases, transactional payload records, customer PII, and financial ledgers are strictly out of scope and never inspected.</w:t>
      </w:r>
    </w:p>
    <w:p>
      <w:pPr>
        <w:spacing w:before="20" w:after="20"/>
      </w:pPr>
      <w:r>
        <w:rPr>
          <w:rFonts w:ascii="Calibri" w:hAnsi="Calibri" w:cs="Calibri" w:eastAsia="Calibri"/>
          <w:b/>
          <w:color w:val="1A1A1A"/>
          <w:sz w:val="22"/>
        </w:rPr>
        <w:t>• 4. No Disruption to Running Workloads:</w:t>
      </w:r>
      <w:r>
        <w:rPr>
          <w:rFonts w:ascii="Calibri" w:hAnsi="Calibri" w:cs="Calibri" w:eastAsia="Calibri"/>
          <w:color w:val="1A1A1A"/>
          <w:sz w:val="22"/>
        </w:rPr>
        <w:t xml:space="preserve"> All evaluations are passive and non-intrusive. Telemetry querying is throttled to prevent CloudWatch API rate-limiting or compute contention.</w:t>
      </w:r>
    </w:p>
    <w:p>
      <w:pPr>
        <w:keepNext/>
        <w:spacing w:before="220" w:after="60"/>
      </w:pPr>
      <w:r>
        <w:rPr>
          <w:rFonts w:ascii="Calibri" w:hAnsi="Calibri" w:cs="Calibri" w:eastAsia="Calibri"/>
          <w:b/>
          <w:color w:val="1A1A1A"/>
          <w:sz w:val="22"/>
        </w:rPr>
        <w:t>5. Contractual Exclusions (The Anti-Scope Creep Shield)</w:t>
      </w:r>
    </w:p>
    <w:p>
      <w:pPr>
        <w:spacing w:before="0" w:after="80"/>
      </w:pPr>
      <w:r>
        <w:rPr>
          <w:rFonts w:ascii="Calibri" w:hAnsi="Calibri" w:cs="Calibri" w:eastAsia="Calibri"/>
          <w:b/>
          <w:color w:val="1A1A1A"/>
          <w:sz w:val="22"/>
        </w:rPr>
        <w:t>To ensure deliverable completion within the agreed timeline (2 weeks or 4 weeks), the following activities, estates, and systems are explicitly EXCLUDED from this diagnostic: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5112"/>
            <w:shd w:fill="FEF2F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 Non-Production Environments Excluded</w:t>
            </w:r>
          </w:p>
        </w:tc>
        <w:tc>
          <w:tcPr>
            <w:tcW w:type="dxa" w:w="5112"/>
            <w:shd w:fill="FEF2F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Development, QA, Staging, UAT, and Sandbox AWS accounts or clusters are strictly excluded. The assessment evaluates production reliability only.</w:t>
            </w:r>
          </w:p>
        </w:tc>
      </w:tr>
      <w:tr>
        <w:tc>
          <w:tcPr>
            <w:tcW w:type="dxa" w:w="51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 Non-Tier-1 Services Excluded (Track A)</w:t>
            </w:r>
          </w:p>
        </w:tc>
        <w:tc>
          <w:tcPr>
            <w:tcW w:type="dxa" w:w="51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For Track A (Rapid 2-Week), only the 1–3 named Tier-1 services are evaluated. General application estate review across other squads is excluded.</w:t>
            </w:r>
          </w:p>
        </w:tc>
      </w:tr>
      <w:tr>
        <w:tc>
          <w:tcPr>
            <w:tcW w:type="dxa" w:w="5112"/>
            <w:shd w:fill="FEF2F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3. Direct Code Refactoring / Implementation Excluded</w:t>
            </w:r>
          </w:p>
        </w:tc>
        <w:tc>
          <w:tcPr>
            <w:tcW w:type="dxa" w:w="5112"/>
            <w:shd w:fill="FEF2F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Hands-on code changes, Terraform PR merges, OpenTelemetry SDK instrumentation, and agent uninstalls are NOT performed during the assessment. These are executed in Phase-2 Implementation.</w:t>
            </w:r>
          </w:p>
        </w:tc>
      </w:tr>
      <w:tr>
        <w:tc>
          <w:tcPr>
            <w:tcW w:type="dxa" w:w="51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4. Third-Party Vendor Commercial Negotiations Excluded</w:t>
            </w:r>
          </w:p>
        </w:tc>
        <w:tc>
          <w:tcPr>
            <w:tcW w:type="dxa" w:w="51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While Vithi provides a Tool Rationalization Matrix and SaaS waste analysis, direct commercial contract renegotiations with Datadog, Splunk, or AWS remain the client’s sole responsibility.</w:t>
            </w:r>
          </w:p>
        </w:tc>
      </w:tr>
      <w:tr>
        <w:tc>
          <w:tcPr>
            <w:tcW w:type="dxa" w:w="5112"/>
            <w:shd w:fill="FEF2F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5. Security Penetration Testing &amp; Vulnerability Audits Excluded</w:t>
            </w:r>
          </w:p>
        </w:tc>
        <w:tc>
          <w:tcPr>
            <w:tcW w:type="dxa" w:w="5112"/>
            <w:shd w:fill="FEF2F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Application penetration testing, vulnerability scanning, and compliance audits (SOC2/PCI certification) are excluded; the focus is strictly SRE reliability and telemetry performance.</w:t>
            </w:r>
          </w:p>
        </w:tc>
      </w:tr>
    </w:tbl>
    <w:p>
      <w:pPr>
        <w:keepNext/>
        <w:spacing w:before="220" w:after="60"/>
      </w:pPr>
      <w:r>
        <w:rPr>
          <w:rFonts w:ascii="Calibri" w:hAnsi="Calibri" w:cs="Calibri" w:eastAsia="Calibri"/>
          <w:b/>
          <w:color w:val="1A1A1A"/>
          <w:sz w:val="22"/>
        </w:rPr>
        <w:t>6. Agreed Output Expectations &amp; Final Deliverables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Agreed Deliverable Name</w:t>
            </w:r>
          </w:p>
        </w:tc>
        <w:tc>
          <w:tcPr>
            <w:tcW w:type="dxa" w:w="340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Format &amp; Structure</w:t>
            </w:r>
          </w:p>
        </w:tc>
        <w:tc>
          <w:tcPr>
            <w:tcW w:type="dxa" w:w="340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Track Applicability</w:t>
            </w:r>
          </w:p>
        </w:tc>
      </w:tr>
      <w:t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 Audited Maturity Scorecard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Granular 1.0–5.0 scoring across evaluated dimensions (Core O0–O6 for Rapid; Canonical O0–O12 for Full), backed by physical evidence references.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Track A (Rapid) &amp; Track B (Full)</w:t>
            </w:r>
          </w:p>
        </w:tc>
      </w:tr>
      <w:t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 Top-20 Alert Noise Root-Cause &amp; Reset Plan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Categorized alert noise analysis from 90-day alert log export (EV04) with actionable silencing rules and runbook alignment.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Track A (Rapid) &amp; Track B (Full)</w:t>
            </w:r>
          </w:p>
        </w:tc>
      </w:tr>
      <w:t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3. Tool Architecture Rationalization Matrix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Vendor overlap evaluation (APM, logs, metrics), duplicate telemetry identification, and SaaS ingestion waste reduction recommendations.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Track B (Full Assessment Only)</w:t>
            </w:r>
          </w:p>
        </w:tc>
      </w:tr>
      <w:t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4. 3-Horizon Transformation Roadmap &amp; Readout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Structured implementation sprint menu (0–60 triage, 61–180 SLOs, 181–360 SRE) presented in executive board-ready presentation format.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Track A (Rapid) &amp; Track B (Full)</w:t>
            </w:r>
          </w:p>
        </w:tc>
      </w:tr>
    </w:tbl>
    <w:p>
      <w:pPr>
        <w:keepNext/>
        <w:spacing w:before="220" w:after="60"/>
      </w:pPr>
      <w:r>
        <w:rPr>
          <w:rFonts w:ascii="Calibri" w:hAnsi="Calibri" w:cs="Calibri" w:eastAsia="Calibri"/>
          <w:b/>
          <w:color w:val="1A1A1A"/>
          <w:sz w:val="22"/>
        </w:rPr>
        <w:t>7. Formal Kickoff Alignment &amp; Authorization Sign-Off</w:t>
      </w:r>
    </w:p>
    <w:p>
      <w:pPr>
        <w:spacing w:before="0" w:after="80"/>
      </w:pPr>
      <w:r>
        <w:rPr>
          <w:rFonts w:ascii="Calibri" w:hAnsi="Calibri" w:cs="Calibri" w:eastAsia="Calibri"/>
          <w:color w:val="1A1A1A"/>
          <w:sz w:val="22"/>
        </w:rPr>
        <w:t>By signing below, Customer and Vithi confirm mutual agreement on the in-scope systems, authorized evidence sources, security protocols, deliverable outputs, and explicit exclusions defined in this Charter: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ON BEHALF OF CUSTOMER ENTERPRISE:</w:t>
            </w:r>
          </w:p>
        </w:tc>
        <w:tc>
          <w:tcPr>
            <w:tcW w:type="dxa" w:w="5112"/>
            <w:shd w:fill="1E3A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ON BEHALF OF VITHI IT SOLUTIONS:</w:t>
            </w:r>
          </w:p>
        </w:tc>
      </w:tr>
      <w:tr>
        <w:tc>
          <w:tcPr>
            <w:tcW w:type="dxa" w:w="51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Signature: __________________________________________</w:t>
              <w:br/>
              <w:t>Name: [ Customer Sponsor Name ]</w:t>
              <w:br/>
              <w:t>Title: [ e.g., VP of SRE &amp; Operations ]</w:t>
              <w:br/>
              <w:t>Date: ________________________</w:t>
            </w:r>
          </w:p>
        </w:tc>
        <w:tc>
          <w:tcPr>
            <w:tcW w:type="dxa" w:w="51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Signature: __________________________________________</w:t>
              <w:br/>
              <w:t>Name: [ Vithi Principal Architect Name ]</w:t>
              <w:br/>
              <w:t>Title: Practice Lead, Operational Intelligence</w:t>
              <w:br/>
              <w:t>Date: ________________________</w:t>
            </w:r>
          </w:p>
        </w:tc>
      </w:tr>
      <w:tr>
        <w:tc>
          <w:tcPr>
            <w:tcW w:type="dxa" w:w="5112"/>
          </w:tcPr>
          <w:p/>
        </w:tc>
        <w:tc>
          <w:tcPr>
            <w:tcW w:type="dxa" w:w="5112"/>
          </w:tcPr>
          <w:p/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