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cs="Calibri" w:eastAsia="Calibri"/>
          <w:b/>
          <w:color w:val="1A1A1A"/>
          <w:sz w:val="22"/>
        </w:rPr>
        <w:t>VITHI IT SOLUTIONS — OPERATIONAL INTELLIGENCE &amp; SRE PRACTICE</w:t>
      </w:r>
    </w:p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30-Minute BD Pre-Discovery Intake Form</w:t>
      </w:r>
    </w:p>
    <w:p>
      <w:pPr>
        <w:spacing w:before="0" w:after="120"/>
      </w:pPr>
      <w:r>
        <w:rPr>
          <w:rFonts w:ascii="Calibri" w:hAnsi="Calibri" w:cs="Calibri" w:eastAsia="Calibri"/>
          <w:color w:val="1A1A1A"/>
          <w:sz w:val="22"/>
        </w:rPr>
        <w:t>First-Contact Qualification Guide: Capture Customer Triggers, Scope, Telemetry Friction, and Desired Decision (10 Core Signals)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Enterprise: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Enter Company Name ]</w:t>
            </w:r>
          </w:p>
        </w:tc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Date &amp; Time: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Date / Time ]</w:t>
            </w:r>
          </w:p>
        </w:tc>
      </w:tr>
      <w:tr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Vithi BD / Lead SA: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Vithi Rep Name ]</w:t>
            </w:r>
          </w:p>
        </w:tc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Target Engagement: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] Rapid 2-Wk  [ ] Full 4-Wk</w:t>
            </w:r>
          </w:p>
        </w:tc>
      </w:tr>
    </w:tbl>
    <w:p>
      <w:pPr>
        <w:keepNext/>
        <w:spacing w:before="160" w:after="60"/>
      </w:pPr>
      <w:r>
        <w:rPr>
          <w:rFonts w:ascii="Calibri" w:hAnsi="Calibri" w:cs="Calibri" w:eastAsia="Calibri"/>
          <w:b/>
          <w:color w:val="1A1A1A"/>
          <w:sz w:val="22"/>
        </w:rPr>
        <w:t>1. Executive Sponsor &amp; Urgent Business Catalyst (Why Now?)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 Executive Sponsor &amp; Stakeholders</w:t>
              <w:br/>
              <w:t>(Decision Maker, Title, Organization)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Named Sponsor: ___________________________________  Title: [ ] CIO  [ ] VP SRE/Ops  [ ] Head of Platform  [ ] Head of Data</w:t>
              <w:br/>
              <w:t>Key Meeting Attendees: ___________________________________________________________________</w:t>
              <w:br/>
              <w:t>Budget Authority / Timeline: [ ] Immediate Q_ Mandate  [ ] Exploration for H2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 Customer Trigger / Recent Incident</w:t>
              <w:br/>
              <w:t>(The Acute Burning Platform)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What broke recently or triggered this discussion?</w:t>
              <w:br/>
              <w:t>[ ] Critical Sev-1 Outage (Revenue drop / checkout failure / customer churn)</w:t>
              <w:br/>
              <w:t>[ ] On-Call Fatigue Crisis (Engineers drowning in noise, threatening attrition, wake-up pages)</w:t>
              <w:br/>
              <w:t>[ ] CloudWatch / SaaS Bill Shock (Unexpected 30–50% bill spike from unmanaged ingestion)</w:t>
              <w:br/>
              <w:t>[ ] Silent Data Pipeline Delay (Stale executive P&amp;L dashboards, schema drift in ETL)</w:t>
              <w:br/>
              <w:t>Specific Incident Notes: ___________________________________________________________________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 Desired Decision to Make</w:t>
              <w:br/>
              <w:t>(What does the customer want to solve?)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What specific commercial or operational decision must leadership make?</w:t>
              <w:br/>
              <w:t>[ ] Decide whether to renew or consolidate multi-tool contracts (Datadog, Splunk, Dynatrace)</w:t>
              <w:br/>
              <w:t>[ ] Secure executive budget and justification for formal SRE / Reliability transformation</w:t>
              <w:br/>
              <w:t>[ ] Establish enforceable SLI/SLO error budget release freeze policies across AppDev squads</w:t>
              <w:br/>
              <w:t>[ ] Select between Vithi Rapid 2-Week Diagnostic or Full 4-Week Enterprise Assessment</w:t>
            </w:r>
          </w:p>
        </w:tc>
      </w:tr>
    </w:tbl>
    <w:p>
      <w:pPr>
        <w:keepNext/>
        <w:spacing w:before="160" w:after="60"/>
      </w:pPr>
      <w:r>
        <w:rPr>
          <w:rFonts w:ascii="Calibri" w:hAnsi="Calibri" w:cs="Calibri" w:eastAsia="Calibri"/>
          <w:b/>
          <w:color w:val="1A1A1A"/>
          <w:sz w:val="22"/>
        </w:rPr>
        <w:t>2. Architecture Footprint &amp; Estate Scope (Where is the Pain?)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 Critical Services &amp; Journeys</w:t>
              <w:br/>
              <w:t>(Tier-1 Customer Paths in Scope)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Primary Cloud Estate: [ ] AWS  [ ] Azure  [ ] GCP  [ ] Hybrid On-Prem</w:t>
              <w:br/>
              <w:t>Critical Customer-Facing Services / APIs in Scope:</w:t>
              <w:br/>
              <w:t>1. ___________________________  2. ___________________________  3. ___________________________</w:t>
              <w:br/>
              <w:t>Scale: [ ] &lt;10 Microservices  [ ] 10–50 Services  [ ] 50+ Enterprise Scale | Containers: [ ] EKS  [ ] ECS  [ ] Lambda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 Current Observability Footprint</w:t>
              <w:br/>
              <w:t>(Active Tool Stack &amp; Overlap)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APM &amp; Tracing: [ ] Datadog  [ ] Dynatrace  [ ] New Relic  [ ] AWS X-Ray  [ ] OpenTelemetry</w:t>
              <w:br/>
              <w:t>Logs: [ ] Splunk  [ ] CloudWatch  [ ] Elastic/OpenSearch  [ ] Vector/Fluentbit</w:t>
              <w:br/>
              <w:t>Metrics: [ ] Prometheus  [ ] CloudWatch  [ ] Datadog  [ ] Grafana</w:t>
              <w:br/>
              <w:t>Alerting &amp; Incident: [ ] PagerDuty  [ ] Opsgenie  [ ] VictorOps  [ ] ServiceNow ITSM</w:t>
              <w:br/>
              <w:t>Identified Overlap / Sprawl: [ ] Dual-logging  [ ] Unmanaged agent bloat  [ ] Orphaned dashboards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 Data-Pipeline &amp; AI-Flow Scope</w:t>
              <w:br/>
              <w:t>(Modern Data &amp; GenAI Extensions)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Platform in Scope: [ ] Yes  [ ] No  |  Engines: [ ] Airflow  [ ] AWS Glue  [ ] Snowflake  [ ] Kafka</w:t>
              <w:br/>
              <w:t>Pain: [ ] Silent batch ETL delays  [ ] Schema drift breaks BI  [ ] Unmonitored Kafka lag</w:t>
              <w:br/>
              <w:t>AI / GenAI Workloads: [ ] Yes  [ ] No  |  Models: [ ] Amazon Bedrock  [ ] OpenAI  [ ] Self-hosted LLM</w:t>
              <w:br/>
              <w:t>Pain: [ ] Unmeasured token costs  [ ] Prompt/inference latency  [ ] RAG hallucination risk</w:t>
            </w:r>
          </w:p>
        </w:tc>
      </w:tr>
    </w:tbl>
    <w:p>
      <w:pPr>
        <w:keepNext/>
        <w:spacing w:before="160" w:after="60"/>
      </w:pPr>
      <w:r>
        <w:rPr>
          <w:rFonts w:ascii="Calibri" w:hAnsi="Calibri" w:cs="Calibri" w:eastAsia="Calibri"/>
          <w:b/>
          <w:color w:val="1A1A1A"/>
          <w:sz w:val="22"/>
        </w:rPr>
        <w:t>3. Operational Friction &amp; Baseline Reliability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7. Alert Volume &amp; Noise Issue</w:t>
              <w:br/>
              <w:t>(Signal-to-Noise &amp; Fatigue)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Estimated Monthly Alert Volume: [ ] &lt;5,000  [ ] 5,000–20,000  [ ] 20,000–50,000  [ ] 50,000+</w:t>
              <w:br/>
              <w:t>Estimated False Alarm / Noise Rate: [ ] &lt;20%  [ ] 20–50%  [ ] 50–75%  [ ] &gt;75% acute crisis</w:t>
              <w:br/>
              <w:t>On-Call Experience: [ ] Frequent 3 AM wake-up pages  [ ] Noisy Slack broadcast channels</w:t>
              <w:br/>
              <w:t>Runbook Coverage: [ ] &lt;25% alerts linked to runbooks  [ ] 25–75%  [ ] Verified 1-click runbooks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8. MTTD / MTTA / MTTR Baselines</w:t>
              <w:br/>
              <w:t>(Incident Speed &amp; War Rooms)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Mean Time to Detect (MTTD): [ ] &lt;5 mins  [ ] 5–30 mins  [ ] &gt;30 mins (often reported by users)</w:t>
              <w:br/>
              <w:t>Mean Time to Acknowledge (MTTA): [ ] &lt;5 mins  [ ] 5–15 mins  [ ] &gt;15 mins</w:t>
              <w:br/>
              <w:t>Mean Time to Recover (MTTR): [ ] &lt;30 mins  [ ] 30–60 mins  [ ] 1–3 hours  [ ] &gt;3 hours prolonged</w:t>
              <w:br/>
              <w:t>Root-Cause Bottleneck: [ ] Traces drop across Kafka/queues  [ ] 6+ person manual triage war rooms</w:t>
            </w:r>
          </w:p>
        </w:tc>
      </w:tr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9. SLI / SLO Governance Status</w:t>
              <w:br/>
              <w:t>(Reliability Standards)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Formal SLO Status: [ ] Zero formal SLOs  [ ] Informal uptime target (99.9%)  [ ] Fully codified SLOs</w:t>
              <w:br/>
              <w:t>Error Budgets: [ ] No error budgets  [ ] Monitored but not enforced  [ ] Halts unstable releases</w:t>
              <w:br/>
              <w:t>Customer Impact: [ ] Outages noticed by executive escalations or tweets before internal alerts</w:t>
            </w:r>
          </w:p>
        </w:tc>
      </w:tr>
    </w:tbl>
    <w:p>
      <w:pPr>
        <w:keepNext/>
        <w:spacing w:before="160" w:after="60"/>
      </w:pPr>
      <w:r>
        <w:rPr>
          <w:rFonts w:ascii="Calibri" w:hAnsi="Calibri" w:cs="Calibri" w:eastAsia="Calibri"/>
          <w:b/>
          <w:color w:val="1A1A1A"/>
          <w:sz w:val="22"/>
        </w:rPr>
        <w:t>4. Commercial Qualification &amp; Engagement Track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10. Tool Cost Sprawl &amp; Renewals</w:t>
              <w:br/>
              <w:t>(FinOps &amp; Financial Leakage)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Telemetry Cost Status: [ ] Sprawling / Uncontrolled  [ ] Predictable  [ ] Urgent Mandate to Cut</w:t>
              <w:br/>
              <w:t>Causes: [ ] DEBUG logs sent to hot storage  [ ] Custom metrics explosion  [ ] Duplicate vendor fees</w:t>
              <w:br/>
              <w:t>Upcoming SaaS Renewal Dates: Datadog: ___________  Splunk: ___________  Other: ___________</w:t>
            </w:r>
          </w:p>
        </w:tc>
      </w:tr>
      <w:tr>
        <w:tc>
          <w:tcPr>
            <w:tcW w:type="dxa" w:w="51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RECOMMENDED ENGAGEMENT OFFER</w:t>
              <w:br/>
              <w:t>(BD Qualification Decision)</w:t>
            </w:r>
          </w:p>
        </w:tc>
        <w:tc>
          <w:tcPr>
            <w:tcW w:type="dxa" w:w="5184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] TRACK A: Rapid Observability Diagnostic (2 Weeks / 10 Days)</w:t>
              <w:br/>
              <w:t xml:space="preserve">    → Best when: Acute outage panic, alert fatigue, 1–3 Tier-1 services, minimal client time (~6 hrs).</w:t>
              <w:br/>
              <w:t>[ ] TRACK B: Full Observability Assessment (4 Weeks / 20 Days)</w:t>
              <w:br/>
              <w:t xml:space="preserve">    → Best when: Tool rationalization, data platform (O8/O9), AI observability (O11), 3-year FinOps model.</w:t>
              <w:br/>
              <w:t>Next Step Agreed: [ ] Send 1-Pager + Scoping Guide  [ ] Send Full Questionnaire  [ ] Schedule SOW Call</w:t>
            </w:r>
          </w:p>
        </w:tc>
      </w:tr>
    </w:tbl>
    <w:p>
      <w:pPr>
        <w:spacing w:before="120" w:after="0"/>
      </w:pPr>
      <w:r>
        <w:rPr>
          <w:rFonts w:ascii="Calibri" w:hAnsi="Calibri" w:cs="Calibri" w:eastAsia="Calibri"/>
          <w:i/>
          <w:color w:val="1A1A1A"/>
          <w:sz w:val="22"/>
        </w:rPr>
        <w:t>Confidentiality Notice: Information captured in this pre-discovery form is treated under mutual NDA. Vithi operates under 100% read-only AWS SecurityAudit roles with zero agent installs. The full 13-dimension maturity questionnaire is initiated only after customer interest and track selection are confirmed.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