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84315" w14:textId="77777777" w:rsidR="00207D6D" w:rsidRDefault="00000000">
      <w:pPr>
        <w:spacing w:after="40"/>
      </w:pPr>
      <w:r>
        <w:rPr>
          <w:rFonts w:ascii="Calibri" w:hAnsi="Calibri" w:cs="Calibri" w:eastAsia="Calibri"/>
          <w:b/>
          <w:color w:val="1A1A1A"/>
          <w:sz w:val="22"/>
        </w:rPr>
        <w:t>VITHI IT SOLUTIONS — OPERATIONAL INTELLIGENCE &amp; SRE PRACTICE</w:t>
      </w:r>
    </w:p>
    <w:p w14:paraId="2C92624F" w14:textId="77777777" w:rsidR="00207D6D" w:rsidRDefault="00000000">
      <w:pPr>
        <w:spacing w:after="80"/>
      </w:pPr>
      <w:r>
        <w:rPr>
          <w:rFonts w:ascii="Calibri" w:hAnsi="Calibri" w:cs="Calibri" w:eastAsia="Calibri"/>
          <w:b/>
          <w:color w:val="1A1A1A"/>
          <w:sz w:val="22"/>
        </w:rPr>
        <w:t>Standard Observability Engagement Models &amp; Scoping Guide</w:t>
      </w:r>
    </w:p>
    <w:p w14:paraId="06D236D6" w14:textId="77777777" w:rsidR="00207D6D" w:rsidRDefault="00000000">
      <w:r>
        <w:rPr>
          <w:rFonts w:ascii="Calibri" w:hAnsi="Calibri" w:cs="Calibri" w:eastAsia="Calibri"/>
          <w:color w:val="1A1A1A"/>
          <w:sz w:val="22"/>
        </w:rPr>
        <w:t>Commercial SOW Packaging: Rapid 2-Week Diagnostic vs. Full 4-Week Enterprise Assessment — Scope, Stakeholders, Evidence, Outputs &amp; Exclusions</w:t>
      </w:r>
    </w:p>
    <w:p w14:paraId="498E63D1" w14:textId="77777777" w:rsidR="00207D6D" w:rsidRDefault="00000000">
      <w:pPr>
        <w:keepNext/>
        <w:spacing w:before="280" w:after="80"/>
      </w:pPr>
      <w:r>
        <w:rPr>
          <w:rFonts w:ascii="Calibri" w:hAnsi="Calibri" w:cs="Calibri" w:eastAsia="Calibri"/>
          <w:b/>
          <w:color w:val="1A1A1A"/>
          <w:sz w:val="22"/>
        </w:rPr>
        <w:t>1. Purpose &amp; Business Development (BD) Positioning Context</w:t>
      </w:r>
    </w:p>
    <w:p w14:paraId="76982BFA" w14:textId="77777777" w:rsidR="00207D6D" w:rsidRDefault="00000000">
      <w:pPr>
        <w:spacing w:after="120"/>
      </w:pPr>
      <w:r>
        <w:rPr>
          <w:rFonts w:ascii="Calibri" w:hAnsi="Calibri" w:cs="Calibri" w:eastAsia="Calibri"/>
          <w:color w:val="1A1A1A"/>
          <w:sz w:val="22"/>
        </w:rPr>
        <w:t>To ensure unambiguous commercial positioning and protect engineering delivery boundaries, Vithi packages its consultative observability offerings into two standardized engagement variants. This guide provides Business Development (BD) teams and enterprise sponsors with clear qualification criteria, scope boundaries, stakeholder expectations, deliverable outputs, and contractual exclusions for both tracks.</w:t>
      </w:r>
    </w:p>
    <w:p w14:paraId="46DC1AF8" w14:textId="77777777" w:rsidR="00207D6D" w:rsidRDefault="00000000">
      <w:pPr>
        <w:keepNext/>
        <w:spacing w:before="280" w:after="80"/>
      </w:pPr>
      <w:r>
        <w:rPr>
          <w:rFonts w:ascii="Calibri" w:hAnsi="Calibri" w:cs="Calibri" w:eastAsia="Calibri"/>
          <w:b/>
          <w:color w:val="1A1A1A"/>
          <w:sz w:val="22"/>
        </w:rPr>
        <w:t>2. Comprehensive Side-by-Side Engagement Comparison Matrix</w:t>
      </w:r>
    </w:p>
    <w:tbl>
      <w:tblPr>
        <w:tblW w:w="0" w:type="auto"/>
        <w:jc w:val="center"/>
        <w:tblLayout w:type="fixed"/>
        <w:tblLook w:val="04A0" w:firstRow="1" w:lastRow="0" w:firstColumn="1" w:lastColumn="0" w:noHBand="0" w:noVBand="1"/>
      </w:tblPr>
      <w:tblGrid>
        <w:gridCol w:w="3360"/>
        <w:gridCol w:w="3360"/>
        <w:gridCol w:w="3360"/>
      </w:tblGrid>
      <w:tr w:rsidR="00207D6D" w14:paraId="13628A3B" w14:textId="77777777">
        <w:trPr>
          <w:jc w:val="center"/>
        </w:trPr>
        <w:tc>
          <w:tcPr>
            <w:tcW w:w="3360" w:type="dxa"/>
            <w:shd w:val="clear" w:color="auto" w:fill="1E3A8A"/>
            <w:tcMar>
              <w:top w:w="120" w:type="dxa"/>
              <w:left w:w="140" w:type="dxa"/>
              <w:bottom w:w="120" w:type="dxa"/>
              <w:right w:w="140" w:type="dxa"/>
            </w:tcMar>
          </w:tcPr>
          <w:p w14:paraId="05036D65" w14:textId="77777777" w:rsidR="00207D6D" w:rsidRDefault="00000000">
            <w:r>
              <w:rPr>
                <w:rFonts w:ascii="Calibri" w:hAnsi="Calibri" w:cs="Calibri" w:eastAsia="Calibri"/>
                <w:b/>
                <w:color w:val="FFFFFF"/>
                <w:sz w:val="20"/>
              </w:rPr>
              <w:t>Engagement Parameter</w:t>
            </w:r>
          </w:p>
        </w:tc>
        <w:tc>
          <w:tcPr>
            <w:tcW w:w="3360" w:type="dxa"/>
            <w:shd w:val="clear" w:color="auto" w:fill="2563EB"/>
            <w:tcMar>
              <w:top w:w="120" w:type="dxa"/>
              <w:left w:w="140" w:type="dxa"/>
              <w:bottom w:w="120" w:type="dxa"/>
              <w:right w:w="140" w:type="dxa"/>
            </w:tcMar>
          </w:tcPr>
          <w:p w14:paraId="6F88723D" w14:textId="77777777" w:rsidR="00207D6D" w:rsidRDefault="00000000">
            <w:r>
              <w:rPr>
                <w:rFonts w:ascii="Calibri" w:hAnsi="Calibri" w:cs="Calibri" w:eastAsia="Calibri"/>
                <w:b/>
                <w:color w:val="FFFFFF"/>
                <w:sz w:val="20"/>
              </w:rPr>
              <w:t>Variant A: Rapid Observability Diagnostic (2 Weeks)</w:t>
            </w:r>
          </w:p>
        </w:tc>
        <w:tc>
          <w:tcPr>
            <w:tcW w:w="3360" w:type="dxa"/>
            <w:shd w:val="clear" w:color="auto" w:fill="0F172A"/>
            <w:tcMar>
              <w:top w:w="120" w:type="dxa"/>
              <w:left w:w="140" w:type="dxa"/>
              <w:bottom w:w="120" w:type="dxa"/>
              <w:right w:w="140" w:type="dxa"/>
            </w:tcMar>
          </w:tcPr>
          <w:p w14:paraId="609370FD" w14:textId="77777777" w:rsidR="00207D6D" w:rsidRDefault="00000000">
            <w:r>
              <w:rPr>
                <w:rFonts w:ascii="Calibri" w:hAnsi="Calibri" w:cs="Calibri" w:eastAsia="Calibri"/>
                <w:b/>
                <w:color w:val="FFFFFF"/>
                <w:sz w:val="20"/>
              </w:rPr>
              <w:t>Variant B: Full Observability Assessment (4 Weeks)</w:t>
            </w:r>
          </w:p>
        </w:tc>
      </w:tr>
      <w:tr w:rsidR="00207D6D" w14:paraId="2CC37126" w14:textId="77777777">
        <w:trPr>
          <w:jc w:val="center"/>
        </w:trPr>
        <w:tc>
          <w:tcPr>
            <w:tcW w:w="3360" w:type="dxa"/>
            <w:shd w:val="clear" w:color="auto" w:fill="F8FAFC"/>
            <w:tcMar>
              <w:top w:w="80" w:type="dxa"/>
              <w:left w:w="100" w:type="dxa"/>
              <w:bottom w:w="80" w:type="dxa"/>
              <w:right w:w="100" w:type="dxa"/>
            </w:tcMar>
          </w:tcPr>
          <w:p w14:paraId="465DB7A0" w14:textId="77777777" w:rsidR="00207D6D" w:rsidRDefault="00000000">
            <w:r>
              <w:rPr>
                <w:rFonts w:ascii="Calibri" w:hAnsi="Calibri" w:cs="Calibri" w:eastAsia="Calibri"/>
                <w:b/>
                <w:color w:val="1A1A1A"/>
                <w:sz w:val="20"/>
              </w:rPr>
              <w:t>1. Estate Scope &amp; Dimensions</w:t>
            </w:r>
          </w:p>
        </w:tc>
        <w:tc>
          <w:tcPr>
            <w:tcW w:w="3360" w:type="dxa"/>
            <w:shd w:val="clear" w:color="auto" w:fill="F8FAFC"/>
            <w:tcMar>
              <w:top w:w="80" w:type="dxa"/>
              <w:left w:w="100" w:type="dxa"/>
              <w:bottom w:w="80" w:type="dxa"/>
              <w:right w:w="100" w:type="dxa"/>
            </w:tcMar>
          </w:tcPr>
          <w:p w14:paraId="145A45D3" w14:textId="77777777" w:rsidR="00207D6D" w:rsidRDefault="00000000">
            <w:r>
              <w:rPr>
                <w:rFonts w:ascii="Calibri" w:hAnsi="Calibri" w:cs="Calibri" w:eastAsia="Calibri"/>
                <w:color w:val="1A1A1A"/>
                <w:sz w:val="20"/>
              </w:rPr>
              <w:t>• Focused Tier-1 Scope: 1–3 critical customer-facing services or APIs.</w:t>
            </w:r>
            <w:r>
              <w:rPr>
                <w:rFonts w:ascii="Calibri" w:hAnsi="Calibri" w:cs="Calibri" w:eastAsia="Calibri"/>
                <w:color w:val="1A1A1A"/>
                <w:sz w:val="20"/>
              </w:rPr>
              <w:br/>
              <w:t>• Evaluated Dimensions: Core O0–O6 (Strategy, Telemetry, Tracing, Alerts, SLOs, Dashboards, Incident RCA).</w:t>
            </w:r>
            <w:r>
              <w:rPr>
                <w:rFonts w:ascii="Calibri" w:hAnsi="Calibri" w:cs="Calibri" w:eastAsia="Calibri"/>
                <w:color w:val="1A1A1A"/>
                <w:sz w:val="20"/>
              </w:rPr>
              <w:br/>
              <w:t>• Single primary alerting queue / PagerDuty service.</w:t>
            </w:r>
          </w:p>
        </w:tc>
        <w:tc>
          <w:tcPr>
            <w:tcW w:w="3360" w:type="dxa"/>
            <w:shd w:val="clear" w:color="auto" w:fill="F8FAFC"/>
            <w:tcMar>
              <w:top w:w="80" w:type="dxa"/>
              <w:left w:w="100" w:type="dxa"/>
              <w:bottom w:w="80" w:type="dxa"/>
              <w:right w:w="100" w:type="dxa"/>
            </w:tcMar>
          </w:tcPr>
          <w:p w14:paraId="66357B2E" w14:textId="77777777" w:rsidR="00207D6D" w:rsidRDefault="00000000">
            <w:r>
              <w:rPr>
                <w:rFonts w:ascii="Calibri" w:hAnsi="Calibri" w:cs="Calibri" w:eastAsia="Calibri"/>
                <w:color w:val="1A1A1A"/>
                <w:sz w:val="20"/>
              </w:rPr>
              <w:t>• Broader Enterprise Estate: Full multi-account AWS / hybrid application estate.</w:t>
            </w:r>
            <w:r>
              <w:rPr>
                <w:rFonts w:ascii="Calibri" w:hAnsi="Calibri" w:cs="Calibri" w:eastAsia="Calibri"/>
                <w:color w:val="1A1A1A"/>
                <w:sz w:val="20"/>
              </w:rPr>
              <w:br/>
              <w:t>• Evaluated Dimensions: Canonical O0–O12 (including O8 Data Pipelines, O9 Data Products, O10 Tool Rationalization, O11 GenAI, O12 Carbon).</w:t>
            </w:r>
            <w:r>
              <w:rPr>
                <w:rFonts w:ascii="Calibri" w:hAnsi="Calibri" w:cs="Calibri" w:eastAsia="Calibri"/>
                <w:color w:val="1A1A1A"/>
                <w:sz w:val="20"/>
              </w:rPr>
              <w:br/>
              <w:t>• Multi-squad alerting, async queues (Kafka), and data platform flows.</w:t>
            </w:r>
          </w:p>
        </w:tc>
      </w:tr>
      <w:tr w:rsidR="00207D6D" w14:paraId="3B3CDB86" w14:textId="77777777">
        <w:trPr>
          <w:jc w:val="center"/>
        </w:trPr>
        <w:tc>
          <w:tcPr>
            <w:tcW w:w="3360" w:type="dxa"/>
            <w:shd w:val="clear" w:color="auto" w:fill="FFFFFF"/>
            <w:tcMar>
              <w:top w:w="80" w:type="dxa"/>
              <w:left w:w="100" w:type="dxa"/>
              <w:bottom w:w="80" w:type="dxa"/>
              <w:right w:w="100" w:type="dxa"/>
            </w:tcMar>
          </w:tcPr>
          <w:p w14:paraId="60D885AF" w14:textId="77777777" w:rsidR="00207D6D" w:rsidRDefault="00000000">
            <w:r>
              <w:rPr>
                <w:rFonts w:ascii="Calibri" w:hAnsi="Calibri" w:cs="Calibri" w:eastAsia="Calibri"/>
                <w:b/>
                <w:color w:val="1A1A1A"/>
                <w:sz w:val="20"/>
              </w:rPr>
              <w:t>2. Customer Participants</w:t>
            </w:r>
          </w:p>
        </w:tc>
        <w:tc>
          <w:tcPr>
            <w:tcW w:w="3360" w:type="dxa"/>
            <w:shd w:val="clear" w:color="auto" w:fill="FFFFFF"/>
            <w:tcMar>
              <w:top w:w="80" w:type="dxa"/>
              <w:left w:w="100" w:type="dxa"/>
              <w:bottom w:w="80" w:type="dxa"/>
              <w:right w:w="100" w:type="dxa"/>
            </w:tcMar>
          </w:tcPr>
          <w:p w14:paraId="6D8D8455" w14:textId="77777777" w:rsidR="00207D6D" w:rsidRDefault="00000000">
            <w:r>
              <w:rPr>
                <w:rFonts w:ascii="Calibri" w:hAnsi="Calibri" w:cs="Calibri" w:eastAsia="Calibri"/>
                <w:color w:val="1A1A1A"/>
                <w:sz w:val="20"/>
              </w:rPr>
              <w:t>• Minimal Friction Commitment (~6 hours total):</w:t>
            </w:r>
            <w:r>
              <w:rPr>
                <w:rFonts w:ascii="Calibri" w:hAnsi="Calibri" w:cs="Calibri" w:eastAsia="Calibri"/>
                <w:color w:val="1A1A1A"/>
                <w:sz w:val="20"/>
              </w:rPr>
              <w:br/>
              <w:t xml:space="preserve">  - 1 Lead SRE / Cloud Platform Engineer (4 hrs)</w:t>
            </w:r>
            <w:r>
              <w:rPr>
                <w:rFonts w:ascii="Calibri" w:hAnsi="Calibri" w:cs="Calibri" w:eastAsia="Calibri"/>
                <w:color w:val="1A1A1A"/>
                <w:sz w:val="20"/>
              </w:rPr>
              <w:br/>
              <w:t xml:space="preserve">  - 1 AppDev Squad Lead (1.5 hrs)</w:t>
            </w:r>
            <w:r>
              <w:rPr>
                <w:rFonts w:ascii="Calibri" w:hAnsi="Calibri" w:cs="Calibri" w:eastAsia="Calibri"/>
                <w:color w:val="1A1A1A"/>
                <w:sz w:val="20"/>
              </w:rPr>
              <w:br/>
              <w:t xml:space="preserve">  - Assessment Sponsor (30-min kickoff &amp; readout)</w:t>
            </w:r>
          </w:p>
        </w:tc>
        <w:tc>
          <w:tcPr>
            <w:tcW w:w="3360" w:type="dxa"/>
            <w:shd w:val="clear" w:color="auto" w:fill="FFFFFF"/>
            <w:tcMar>
              <w:top w:w="80" w:type="dxa"/>
              <w:left w:w="100" w:type="dxa"/>
              <w:bottom w:w="80" w:type="dxa"/>
              <w:right w:w="100" w:type="dxa"/>
            </w:tcMar>
          </w:tcPr>
          <w:p w14:paraId="691A9116" w14:textId="77777777" w:rsidR="00207D6D" w:rsidRDefault="00000000">
            <w:r>
              <w:rPr>
                <w:rFonts w:ascii="Calibri" w:hAnsi="Calibri" w:cs="Calibri" w:eastAsia="Calibri"/>
                <w:color w:val="1A1A1A"/>
                <w:sz w:val="20"/>
              </w:rPr>
              <w:t>• Cross-Functional Stakeholder Group (~18 hours total):</w:t>
            </w:r>
            <w:r>
              <w:rPr>
                <w:rFonts w:ascii="Calibri" w:hAnsi="Calibri" w:cs="Calibri" w:eastAsia="Calibri"/>
                <w:color w:val="1A1A1A"/>
                <w:sz w:val="20"/>
              </w:rPr>
              <w:br/>
              <w:t xml:space="preserve">  - VP of SRE / Head of Cloud Platform (2 hrs)</w:t>
            </w:r>
            <w:r>
              <w:rPr>
                <w:rFonts w:ascii="Calibri" w:hAnsi="Calibri" w:cs="Calibri" w:eastAsia="Calibri"/>
                <w:color w:val="1A1A1A"/>
                <w:sz w:val="20"/>
              </w:rPr>
              <w:br/>
              <w:t xml:space="preserve">  - Data Platform &amp; Analytics Engineering Lead (3 hrs)</w:t>
            </w:r>
            <w:r>
              <w:rPr>
                <w:rFonts w:ascii="Calibri" w:hAnsi="Calibri" w:cs="Calibri" w:eastAsia="Calibri"/>
                <w:color w:val="1A1A1A"/>
                <w:sz w:val="20"/>
              </w:rPr>
              <w:br/>
              <w:t xml:space="preserve">  - Lead AppDev Architects across 2–3 squads (4 hrs)</w:t>
            </w:r>
            <w:r>
              <w:rPr>
                <w:rFonts w:ascii="Calibri" w:hAnsi="Calibri" w:cs="Calibri" w:eastAsia="Calibri"/>
                <w:color w:val="1A1A1A"/>
                <w:sz w:val="20"/>
              </w:rPr>
              <w:br/>
              <w:t xml:space="preserve">  - FinOps / IT Procurement Lead (2 hrs)</w:t>
            </w:r>
            <w:r>
              <w:rPr>
                <w:rFonts w:ascii="Calibri" w:hAnsi="Calibri" w:cs="Calibri" w:eastAsia="Calibri"/>
                <w:color w:val="1A1A1A"/>
                <w:sz w:val="20"/>
              </w:rPr>
              <w:br/>
              <w:t xml:space="preserve">  - On-Call SRE Leads (4 hrs) + Board Readout (1 hr)</w:t>
            </w:r>
          </w:p>
        </w:tc>
      </w:tr>
      <w:tr w:rsidR="00207D6D" w14:paraId="33D1B866" w14:textId="77777777">
        <w:trPr>
          <w:jc w:val="center"/>
        </w:trPr>
        <w:tc>
          <w:tcPr>
            <w:tcW w:w="3360" w:type="dxa"/>
            <w:shd w:val="clear" w:color="auto" w:fill="F8FAFC"/>
            <w:tcMar>
              <w:top w:w="80" w:type="dxa"/>
              <w:left w:w="100" w:type="dxa"/>
              <w:bottom w:w="80" w:type="dxa"/>
              <w:right w:w="100" w:type="dxa"/>
            </w:tcMar>
          </w:tcPr>
          <w:p w14:paraId="28BE780D" w14:textId="77777777" w:rsidR="00207D6D" w:rsidRDefault="00000000">
            <w:r>
              <w:rPr>
                <w:rFonts w:ascii="Calibri" w:hAnsi="Calibri" w:cs="Calibri" w:eastAsia="Calibri"/>
                <w:b/>
                <w:color w:val="1A1A1A"/>
                <w:sz w:val="20"/>
              </w:rPr>
              <w:t>3. Evidence Needed</w:t>
            </w:r>
          </w:p>
        </w:tc>
        <w:tc>
          <w:tcPr>
            <w:tcW w:w="3360" w:type="dxa"/>
            <w:shd w:val="clear" w:color="auto" w:fill="F8FAFC"/>
            <w:tcMar>
              <w:top w:w="80" w:type="dxa"/>
              <w:left w:w="100" w:type="dxa"/>
              <w:bottom w:w="80" w:type="dxa"/>
              <w:right w:w="100" w:type="dxa"/>
            </w:tcMar>
          </w:tcPr>
          <w:p w14:paraId="2E10526E" w14:textId="77777777" w:rsidR="00207D6D" w:rsidRDefault="00000000">
            <w:r>
              <w:rPr>
                <w:rFonts w:ascii="Calibri" w:hAnsi="Calibri" w:cs="Calibri" w:eastAsia="Calibri"/>
                <w:color w:val="1A1A1A"/>
                <w:sz w:val="20"/>
              </w:rPr>
              <w:t>• Core Artifact Set (EV01–EV06):</w:t>
            </w:r>
            <w:r>
              <w:rPr>
                <w:rFonts w:ascii="Calibri" w:hAnsi="Calibri" w:cs="Calibri" w:eastAsia="Calibri"/>
                <w:color w:val="1A1A1A"/>
                <w:sz w:val="20"/>
              </w:rPr>
              <w:br/>
              <w:t xml:space="preserve">  - EV01: Tier-1 Service Catalog &amp; Owners</w:t>
            </w:r>
            <w:r>
              <w:rPr>
                <w:rFonts w:ascii="Calibri" w:hAnsi="Calibri" w:cs="Calibri" w:eastAsia="Calibri"/>
                <w:color w:val="1A1A1A"/>
                <w:sz w:val="20"/>
              </w:rPr>
              <w:br/>
              <w:t xml:space="preserve">  - EV02: Dynamic Architecture Topology</w:t>
            </w:r>
            <w:r>
              <w:rPr>
                <w:rFonts w:ascii="Calibri" w:hAnsi="Calibri" w:cs="Calibri" w:eastAsia="Calibri"/>
                <w:color w:val="1A1A1A"/>
                <w:sz w:val="20"/>
              </w:rPr>
              <w:br/>
              <w:t xml:space="preserve">  - EV03: Agent &amp; Ingestion Configurations</w:t>
            </w:r>
            <w:r>
              <w:rPr>
                <w:rFonts w:ascii="Calibri" w:hAnsi="Calibri" w:cs="Calibri" w:eastAsia="Calibri"/>
                <w:color w:val="1A1A1A"/>
                <w:sz w:val="20"/>
              </w:rPr>
              <w:br/>
              <w:t xml:space="preserve">  - EV04: 90-Day PagerDuty/Alert Log Export</w:t>
            </w:r>
            <w:r>
              <w:rPr>
                <w:rFonts w:ascii="Calibri" w:hAnsi="Calibri" w:cs="Calibri" w:eastAsia="Calibri"/>
                <w:color w:val="1A1A1A"/>
                <w:sz w:val="20"/>
              </w:rPr>
              <w:br/>
            </w:r>
            <w:r>
              <w:rPr>
                <w:rFonts w:ascii="Calibri" w:hAnsi="Calibri" w:cs="Calibri" w:eastAsia="Calibri"/>
                <w:color w:val="1A1A1A"/>
                <w:sz w:val="20"/>
              </w:rPr>
              <w:lastRenderedPageBreak/>
              <w:t xml:space="preserve">  - EV05: Top-10 Operational Runbooks</w:t>
            </w:r>
            <w:r>
              <w:rPr>
                <w:rFonts w:ascii="Calibri" w:hAnsi="Calibri" w:cs="Calibri" w:eastAsia="Calibri"/>
                <w:color w:val="1A1A1A"/>
                <w:sz w:val="20"/>
              </w:rPr>
              <w:br/>
              <w:t xml:space="preserve">  - EV06: Primary Live Dashboards</w:t>
            </w:r>
          </w:p>
        </w:tc>
        <w:tc>
          <w:tcPr>
            <w:tcW w:w="3360" w:type="dxa"/>
            <w:shd w:val="clear" w:color="auto" w:fill="F8FAFC"/>
            <w:tcMar>
              <w:top w:w="80" w:type="dxa"/>
              <w:left w:w="100" w:type="dxa"/>
              <w:bottom w:w="80" w:type="dxa"/>
              <w:right w:w="100" w:type="dxa"/>
            </w:tcMar>
          </w:tcPr>
          <w:p w14:paraId="43371948" w14:textId="77777777" w:rsidR="00207D6D" w:rsidRDefault="00000000">
            <w:r>
              <w:rPr>
                <w:rFonts w:ascii="Calibri" w:hAnsi="Calibri" w:cs="Calibri" w:eastAsia="Calibri"/>
                <w:color w:val="1A1A1A"/>
                <w:sz w:val="20"/>
              </w:rPr>
              <w:lastRenderedPageBreak/>
              <w:t>• Full Extended Set (EV01–EV13):</w:t>
            </w:r>
            <w:r>
              <w:rPr>
                <w:rFonts w:ascii="Calibri" w:hAnsi="Calibri" w:cs="Calibri" w:eastAsia="Calibri"/>
                <w:color w:val="1A1A1A"/>
                <w:sz w:val="20"/>
              </w:rPr>
              <w:br/>
              <w:t xml:space="preserve">  - All Core artifacts (EV01–EV06)</w:t>
            </w:r>
            <w:r>
              <w:rPr>
                <w:rFonts w:ascii="Calibri" w:hAnsi="Calibri" w:cs="Calibri" w:eastAsia="Calibri"/>
                <w:color w:val="1A1A1A"/>
                <w:sz w:val="20"/>
              </w:rPr>
              <w:br/>
              <w:t xml:space="preserve">  - EV07: SLI/SLO Registry &amp; Error Budget Docs</w:t>
            </w:r>
            <w:r>
              <w:rPr>
                <w:rFonts w:ascii="Calibri" w:hAnsi="Calibri" w:cs="Calibri" w:eastAsia="Calibri"/>
                <w:color w:val="1A1A1A"/>
                <w:sz w:val="20"/>
              </w:rPr>
              <w:br/>
              <w:t xml:space="preserve">  - EV08: Blameless Incident Post-Mortems (PIRs)</w:t>
            </w:r>
            <w:r>
              <w:rPr>
                <w:rFonts w:ascii="Calibri" w:hAnsi="Calibri" w:cs="Calibri" w:eastAsia="Calibri"/>
                <w:color w:val="1A1A1A"/>
                <w:sz w:val="20"/>
              </w:rPr>
              <w:br/>
              <w:t xml:space="preserve">  - EV09: Data Pipeline DAG Execution </w:t>
            </w:r>
            <w:r>
              <w:rPr>
                <w:rFonts w:ascii="Calibri" w:hAnsi="Calibri" w:cs="Calibri" w:eastAsia="Calibri"/>
                <w:color w:val="1A1A1A"/>
                <w:sz w:val="20"/>
              </w:rPr>
              <w:lastRenderedPageBreak/>
              <w:t>Logs</w:t>
            </w:r>
            <w:r>
              <w:rPr>
                <w:rFonts w:ascii="Calibri" w:hAnsi="Calibri" w:cs="Calibri" w:eastAsia="Calibri"/>
                <w:color w:val="1A1A1A"/>
                <w:sz w:val="20"/>
              </w:rPr>
              <w:br/>
              <w:t xml:space="preserve">  - EV10: Data Product &amp; Schema Drift Reports</w:t>
            </w:r>
            <w:r>
              <w:rPr>
                <w:rFonts w:ascii="Calibri" w:hAnsi="Calibri" w:cs="Calibri" w:eastAsia="Calibri"/>
                <w:color w:val="1A1A1A"/>
                <w:sz w:val="20"/>
              </w:rPr>
              <w:br/>
              <w:t xml:space="preserve">  - EV11: SaaS Tool Contracts, Invoices &amp; Overlap</w:t>
            </w:r>
            <w:r>
              <w:rPr>
                <w:rFonts w:ascii="Calibri" w:hAnsi="Calibri" w:cs="Calibri" w:eastAsia="Calibri"/>
                <w:color w:val="1A1A1A"/>
                <w:sz w:val="20"/>
              </w:rPr>
              <w:br/>
              <w:t xml:space="preserve">  - EV12: AI / Bedrock / LLM Gateway Logs</w:t>
            </w:r>
            <w:r>
              <w:rPr>
                <w:rFonts w:ascii="Calibri" w:hAnsi="Calibri" w:cs="Calibri" w:eastAsia="Calibri"/>
                <w:color w:val="1A1A1A"/>
                <w:sz w:val="20"/>
              </w:rPr>
              <w:br/>
              <w:t xml:space="preserve">  - EV13: Carbon Footprint &amp; Optimizer Exports</w:t>
            </w:r>
          </w:p>
        </w:tc>
      </w:tr>
      <w:tr w:rsidR="00207D6D" w14:paraId="225434EE" w14:textId="77777777">
        <w:trPr>
          <w:jc w:val="center"/>
        </w:trPr>
        <w:tc>
          <w:tcPr>
            <w:tcW w:w="3360" w:type="dxa"/>
            <w:shd w:val="clear" w:color="auto" w:fill="FFFFFF"/>
            <w:tcMar>
              <w:top w:w="80" w:type="dxa"/>
              <w:left w:w="100" w:type="dxa"/>
              <w:bottom w:w="80" w:type="dxa"/>
              <w:right w:w="100" w:type="dxa"/>
            </w:tcMar>
          </w:tcPr>
          <w:p w14:paraId="0F9BE159" w14:textId="77777777" w:rsidR="00207D6D" w:rsidRDefault="00000000">
            <w:r>
              <w:rPr>
                <w:rFonts w:ascii="Calibri" w:hAnsi="Calibri" w:cs="Calibri" w:eastAsia="Calibri"/>
                <w:b/>
                <w:color w:val="1A1A1A"/>
                <w:sz w:val="20"/>
              </w:rPr>
              <w:lastRenderedPageBreak/>
              <w:t>4. Activities &amp; Timeline</w:t>
            </w:r>
          </w:p>
        </w:tc>
        <w:tc>
          <w:tcPr>
            <w:tcW w:w="3360" w:type="dxa"/>
            <w:shd w:val="clear" w:color="auto" w:fill="FFFFFF"/>
            <w:tcMar>
              <w:top w:w="80" w:type="dxa"/>
              <w:left w:w="100" w:type="dxa"/>
              <w:bottom w:w="80" w:type="dxa"/>
              <w:right w:w="100" w:type="dxa"/>
            </w:tcMar>
          </w:tcPr>
          <w:p w14:paraId="6A20C0F6" w14:textId="77777777" w:rsidR="00207D6D" w:rsidRDefault="00000000">
            <w:r>
              <w:rPr>
                <w:rFonts w:ascii="Calibri" w:hAnsi="Calibri" w:cs="Calibri" w:eastAsia="Calibri"/>
                <w:color w:val="1A1A1A"/>
                <w:sz w:val="20"/>
              </w:rPr>
              <w:t>• Week 1: 30-min kickoff; read-only telemetry and 90-day alert data ingestion; noise pattern analysis.</w:t>
            </w:r>
            <w:r>
              <w:rPr>
                <w:rFonts w:ascii="Calibri" w:hAnsi="Calibri" w:cs="Calibri" w:eastAsia="Calibri"/>
                <w:color w:val="1A1A1A"/>
                <w:sz w:val="20"/>
              </w:rPr>
              <w:br/>
              <w:t>• Week 2: Scoring calibration with SRE lead; top-20 noise root-cause map; 30-day reset plan; Executive Readout.</w:t>
            </w:r>
          </w:p>
        </w:tc>
        <w:tc>
          <w:tcPr>
            <w:tcW w:w="3360" w:type="dxa"/>
            <w:shd w:val="clear" w:color="auto" w:fill="FFFFFF"/>
            <w:tcMar>
              <w:top w:w="80" w:type="dxa"/>
              <w:left w:w="100" w:type="dxa"/>
              <w:bottom w:w="80" w:type="dxa"/>
              <w:right w:w="100" w:type="dxa"/>
            </w:tcMar>
          </w:tcPr>
          <w:p w14:paraId="05978EF6" w14:textId="77777777" w:rsidR="00207D6D" w:rsidRDefault="00000000">
            <w:r>
              <w:rPr>
                <w:rFonts w:ascii="Calibri" w:hAnsi="Calibri" w:cs="Calibri" w:eastAsia="Calibri"/>
                <w:color w:val="1A1A1A"/>
                <w:sz w:val="20"/>
              </w:rPr>
              <w:t>• Week 1: Enterprise intake, service inventory, multi-account telemetry audit.</w:t>
            </w:r>
            <w:r>
              <w:rPr>
                <w:rFonts w:ascii="Calibri" w:hAnsi="Calibri" w:cs="Calibri" w:eastAsia="Calibri"/>
                <w:color w:val="1A1A1A"/>
                <w:sz w:val="20"/>
              </w:rPr>
              <w:br/>
              <w:t>• Week 2: Tool rationalization matrix, data pipeline freshness/drift audit, logging cost tiering review.</w:t>
            </w:r>
            <w:r>
              <w:rPr>
                <w:rFonts w:ascii="Calibri" w:hAnsi="Calibri" w:cs="Calibri" w:eastAsia="Calibri"/>
                <w:color w:val="1A1A1A"/>
                <w:sz w:val="20"/>
              </w:rPr>
              <w:br/>
              <w:t>• Week 3: Scoring engine calibration, 3-year capacity modeling, 3-horizon roadmap workshop.</w:t>
            </w:r>
            <w:r>
              <w:rPr>
                <w:rFonts w:ascii="Calibri" w:hAnsi="Calibri" w:cs="Calibri" w:eastAsia="Calibri"/>
                <w:color w:val="1A1A1A"/>
                <w:sz w:val="20"/>
              </w:rPr>
              <w:br/>
              <w:t>• Week 4: Stakeholder validation, Board-ready readout, Implementation SOW menu.</w:t>
            </w:r>
          </w:p>
        </w:tc>
      </w:tr>
      <w:tr w:rsidR="00207D6D" w14:paraId="67C71669" w14:textId="77777777">
        <w:trPr>
          <w:jc w:val="center"/>
        </w:trPr>
        <w:tc>
          <w:tcPr>
            <w:tcW w:w="3360" w:type="dxa"/>
            <w:shd w:val="clear" w:color="auto" w:fill="F8FAFC"/>
            <w:tcMar>
              <w:top w:w="80" w:type="dxa"/>
              <w:left w:w="100" w:type="dxa"/>
              <w:bottom w:w="80" w:type="dxa"/>
              <w:right w:w="100" w:type="dxa"/>
            </w:tcMar>
          </w:tcPr>
          <w:p w14:paraId="137F65D5" w14:textId="77777777" w:rsidR="00207D6D" w:rsidRDefault="00000000">
            <w:r>
              <w:rPr>
                <w:rFonts w:ascii="Calibri" w:hAnsi="Calibri" w:cs="Calibri" w:eastAsia="Calibri"/>
                <w:b/>
                <w:color w:val="1A1A1A"/>
                <w:sz w:val="20"/>
              </w:rPr>
              <w:t>5. Tangible Outputs &amp; Deliverables</w:t>
            </w:r>
          </w:p>
        </w:tc>
        <w:tc>
          <w:tcPr>
            <w:tcW w:w="3360" w:type="dxa"/>
            <w:shd w:val="clear" w:color="auto" w:fill="F8FAFC"/>
            <w:tcMar>
              <w:top w:w="80" w:type="dxa"/>
              <w:left w:w="100" w:type="dxa"/>
              <w:bottom w:w="80" w:type="dxa"/>
              <w:right w:w="100" w:type="dxa"/>
            </w:tcMar>
          </w:tcPr>
          <w:p w14:paraId="197247EA" w14:textId="77777777" w:rsidR="00207D6D" w:rsidRDefault="00000000">
            <w:r>
              <w:rPr>
                <w:rFonts w:ascii="Calibri" w:hAnsi="Calibri" w:cs="Calibri" w:eastAsia="Calibri"/>
                <w:color w:val="1A1A1A"/>
                <w:sz w:val="20"/>
              </w:rPr>
              <w:t>1. Rapid Maturity Scorecard (Core O0–O6)</w:t>
            </w:r>
            <w:r>
              <w:rPr>
                <w:rFonts w:ascii="Calibri" w:hAnsi="Calibri" w:cs="Calibri" w:eastAsia="Calibri"/>
                <w:color w:val="1A1A1A"/>
                <w:sz w:val="20"/>
              </w:rPr>
              <w:br/>
              <w:t>2. Top-20 Alert Noise Root-Cause &amp; Reset Plan</w:t>
            </w:r>
            <w:r>
              <w:rPr>
                <w:rFonts w:ascii="Calibri" w:hAnsi="Calibri" w:cs="Calibri" w:eastAsia="Calibri"/>
                <w:color w:val="1A1A1A"/>
                <w:sz w:val="20"/>
              </w:rPr>
              <w:br/>
              <w:t>3. Horizon-1 Quick-Wins Roadmap (0–60 Days)</w:t>
            </w:r>
            <w:r>
              <w:rPr>
                <w:rFonts w:ascii="Calibri" w:hAnsi="Calibri" w:cs="Calibri" w:eastAsia="Calibri"/>
                <w:color w:val="1A1A1A"/>
                <w:sz w:val="20"/>
              </w:rPr>
              <w:br/>
              <w:t>4. Executive Readout Deck (10 slides)</w:t>
            </w:r>
          </w:p>
        </w:tc>
        <w:tc>
          <w:tcPr>
            <w:tcW w:w="3360" w:type="dxa"/>
            <w:shd w:val="clear" w:color="auto" w:fill="F8FAFC"/>
            <w:tcMar>
              <w:top w:w="80" w:type="dxa"/>
              <w:left w:w="100" w:type="dxa"/>
              <w:bottom w:w="80" w:type="dxa"/>
              <w:right w:w="100" w:type="dxa"/>
            </w:tcMar>
          </w:tcPr>
          <w:p w14:paraId="503DA3F0" w14:textId="77777777" w:rsidR="00207D6D" w:rsidRDefault="00000000">
            <w:r>
              <w:rPr>
                <w:rFonts w:ascii="Calibri" w:hAnsi="Calibri" w:cs="Calibri" w:eastAsia="Calibri"/>
                <w:color w:val="1A1A1A"/>
                <w:sz w:val="20"/>
              </w:rPr>
              <w:t>1. Comprehensive Maturity Scorecard (Canonical O0–O12)</w:t>
            </w:r>
            <w:r>
              <w:rPr>
                <w:rFonts w:ascii="Calibri" w:hAnsi="Calibri" w:cs="Calibri" w:eastAsia="Calibri"/>
                <w:color w:val="1A1A1A"/>
                <w:sz w:val="20"/>
              </w:rPr>
              <w:br/>
              <w:t>2. Tool Architecture &amp; Rationalization Matrix</w:t>
            </w:r>
            <w:r>
              <w:rPr>
                <w:rFonts w:ascii="Calibri" w:hAnsi="Calibri" w:cs="Calibri" w:eastAsia="Calibri"/>
                <w:color w:val="1A1A1A"/>
                <w:sz w:val="20"/>
              </w:rPr>
              <w:br/>
              <w:t>3. Data Pipeline &amp; Dashboard Health Assessment</w:t>
            </w:r>
            <w:r>
              <w:rPr>
                <w:rFonts w:ascii="Calibri" w:hAnsi="Calibri" w:cs="Calibri" w:eastAsia="Calibri"/>
                <w:color w:val="1A1A1A"/>
                <w:sz w:val="20"/>
              </w:rPr>
              <w:br/>
              <w:t>4. 3-Year Capacity &amp; FinOps Opportunity Model</w:t>
            </w:r>
            <w:r>
              <w:rPr>
                <w:rFonts w:ascii="Calibri" w:hAnsi="Calibri" w:cs="Calibri" w:eastAsia="Calibri"/>
                <w:color w:val="1A1A1A"/>
                <w:sz w:val="20"/>
              </w:rPr>
              <w:br/>
              <w:t>5. Complete 3-Horizon Transformation Roadmap</w:t>
            </w:r>
            <w:r>
              <w:rPr>
                <w:rFonts w:ascii="Calibri" w:hAnsi="Calibri" w:cs="Calibri" w:eastAsia="Calibri"/>
                <w:color w:val="1A1A1A"/>
                <w:sz w:val="20"/>
              </w:rPr>
              <w:br/>
              <w:t>6. Board-Ready Executive Readout Deck (full pack)</w:t>
            </w:r>
          </w:p>
        </w:tc>
      </w:tr>
      <w:tr w:rsidR="00207D6D" w14:paraId="130E3443" w14:textId="77777777">
        <w:trPr>
          <w:jc w:val="center"/>
        </w:trPr>
        <w:tc>
          <w:tcPr>
            <w:tcW w:w="3360" w:type="dxa"/>
            <w:shd w:val="clear" w:color="auto" w:fill="FFFFFF"/>
            <w:tcMar>
              <w:top w:w="80" w:type="dxa"/>
              <w:left w:w="100" w:type="dxa"/>
              <w:bottom w:w="80" w:type="dxa"/>
              <w:right w:w="100" w:type="dxa"/>
            </w:tcMar>
          </w:tcPr>
          <w:p w14:paraId="5BB3AD62" w14:textId="77777777" w:rsidR="00207D6D" w:rsidRDefault="00000000">
            <w:r>
              <w:rPr>
                <w:rFonts w:ascii="Calibri" w:hAnsi="Calibri" w:cs="Calibri" w:eastAsia="Calibri"/>
                <w:b/>
                <w:color w:val="1A1A1A"/>
                <w:sz w:val="20"/>
              </w:rPr>
              <w:t>6. Contractual Exclusions</w:t>
            </w:r>
          </w:p>
        </w:tc>
        <w:tc>
          <w:tcPr>
            <w:tcW w:w="3360" w:type="dxa"/>
            <w:shd w:val="clear" w:color="auto" w:fill="FFFFFF"/>
            <w:tcMar>
              <w:top w:w="80" w:type="dxa"/>
              <w:left w:w="100" w:type="dxa"/>
              <w:bottom w:w="80" w:type="dxa"/>
              <w:right w:w="100" w:type="dxa"/>
            </w:tcMar>
          </w:tcPr>
          <w:p w14:paraId="170F7061" w14:textId="77777777" w:rsidR="00207D6D" w:rsidRDefault="00000000">
            <w:r>
              <w:rPr>
                <w:rFonts w:ascii="Calibri" w:hAnsi="Calibri" w:cs="Calibri" w:eastAsia="Calibri"/>
                <w:b w:val="0"/>
                <w:i/>
                <w:color w:val="1A1A1A"/>
                <w:sz w:val="20"/>
              </w:rPr>
              <w:t>The following are NOT included in the Rapid Diagnostic track and are available in the Full Assessment (Track B):</w:t>
            </w:r>
          </w:p>
          <w:p>
            <w:r>
              <w:rPr>
                <w:rFonts w:ascii="Calibri" w:hAnsi="Calibri" w:cs="Calibri" w:eastAsia="Calibri"/>
                <w:b w:val="0"/>
                <w:color w:val="1A1A1A"/>
                <w:sz w:val="20"/>
              </w:rPr>
              <w:t>• Data pipeline (O8) / data product (O9) assessment — available in Track B</w:t>
            </w:r>
          </w:p>
          <w:p>
            <w:r>
              <w:rPr>
                <w:rFonts w:ascii="Calibri" w:hAnsi="Calibri" w:cs="Calibri" w:eastAsia="Calibri"/>
                <w:b w:val="0"/>
                <w:color w:val="1A1A1A"/>
                <w:sz w:val="20"/>
              </w:rPr>
              <w:t>• Tool architecture &amp; rationalization (O10) — available in Track B</w:t>
            </w:r>
          </w:p>
          <w:p>
            <w:r>
              <w:rPr>
                <w:rFonts w:ascii="Calibri" w:hAnsi="Calibri" w:cs="Calibri" w:eastAsia="Calibri"/>
                <w:b w:val="0"/>
                <w:color w:val="1A1A1A"/>
                <w:sz w:val="20"/>
              </w:rPr>
              <w:t>• GenAI / LLM observability (O11) assessment — available in Track B</w:t>
            </w:r>
          </w:p>
          <w:p>
            <w:r>
              <w:rPr>
                <w:rFonts w:ascii="Calibri" w:hAnsi="Calibri" w:cs="Calibri" w:eastAsia="Calibri"/>
                <w:b w:val="0"/>
                <w:color w:val="1A1A1A"/>
                <w:sz w:val="20"/>
              </w:rPr>
              <w:t>• Carbon &amp; sustainability observability (O12) — available in Track B</w:t>
            </w:r>
          </w:p>
          <w:p>
            <w:r>
              <w:rPr>
                <w:rFonts w:ascii="Calibri" w:hAnsi="Calibri" w:cs="Calibri" w:eastAsia="Calibri"/>
                <w:b w:val="0"/>
                <w:color w:val="1A1A1A"/>
                <w:sz w:val="20"/>
              </w:rPr>
            </w:r>
          </w:p>
          <w:p>
            <w:r>
              <w:rPr>
                <w:rFonts w:ascii="Calibri" w:hAnsi="Calibri" w:cs="Calibri" w:eastAsia="Calibri"/>
                <w:b w:val="0"/>
                <w:i/>
                <w:color w:val="1A1A1A"/>
                <w:sz w:val="20"/>
              </w:rPr>
              <w:t>True contractual exclusions (neither track):</w:t>
            </w:r>
          </w:p>
          <w:p>
            <w:r>
              <w:rPr>
                <w:rFonts w:ascii="Calibri" w:hAnsi="Calibri" w:cs="Calibri" w:eastAsia="Calibri"/>
                <w:b w:val="0"/>
                <w:color w:val="1A1A1A"/>
                <w:sz w:val="20"/>
              </w:rPr>
              <w:t>• Hands-on code refactoring or agent installs</w:t>
            </w:r>
          </w:p>
          <w:p>
            <w:r>
              <w:rPr>
                <w:rFonts w:ascii="Calibri" w:hAnsi="Calibri" w:cs="Calibri" w:eastAsia="Calibri"/>
                <w:b w:val="0"/>
                <w:color w:val="1A1A1A"/>
                <w:sz w:val="20"/>
              </w:rPr>
              <w:t>• Direct production changes or IaC deployments</w:t>
            </w:r>
          </w:p>
          <w:p>
            <w:r>
              <w:rPr>
                <w:rFonts w:ascii="Calibri" w:hAnsi="Calibri" w:cs="Calibri" w:eastAsia="Calibri"/>
                <w:b w:val="0"/>
                <w:color w:val="1A1A1A"/>
                <w:sz w:val="20"/>
              </w:rPr>
              <w:t>• SLA guarantees on outcome targets — all figures are illustrative and baseline-dependent</w:t>
            </w:r>
          </w:p>
        </w:tc>
        <w:tc>
          <w:tcPr>
            <w:tcW w:w="3360" w:type="dxa"/>
            <w:shd w:val="clear" w:color="auto" w:fill="FFFFFF"/>
            <w:tcMar>
              <w:top w:w="80" w:type="dxa"/>
              <w:left w:w="100" w:type="dxa"/>
              <w:bottom w:w="80" w:type="dxa"/>
              <w:right w:w="100" w:type="dxa"/>
            </w:tcMar>
          </w:tcPr>
          <w:p w14:paraId="465702AB" w14:textId="77777777" w:rsidR="00207D6D" w:rsidRDefault="00000000">
            <w:r>
              <w:rPr>
                <w:rFonts w:ascii="Calibri" w:hAnsi="Calibri" w:cs="Calibri" w:eastAsia="Calibri"/>
                <w:b w:val="0"/>
                <w:i/>
                <w:color w:val="1A1A1A"/>
                <w:sz w:val="20"/>
              </w:rPr>
              <w:t>True contractual exclusions (not covered in this assessment):</w:t>
            </w:r>
          </w:p>
          <w:p>
            <w:r>
              <w:rPr>
                <w:rFonts w:ascii="Calibri" w:hAnsi="Calibri" w:cs="Calibri" w:eastAsia="Calibri"/>
                <w:b w:val="0"/>
                <w:color w:val="1A1A1A"/>
                <w:sz w:val="20"/>
              </w:rPr>
              <w:t>• Direct production agent deployment or IaC code changes during the 4 weeks</w:t>
            </w:r>
          </w:p>
          <w:p>
            <w:r>
              <w:rPr>
                <w:rFonts w:ascii="Calibri" w:hAnsi="Calibri" w:cs="Calibri" w:eastAsia="Calibri"/>
                <w:b w:val="0"/>
                <w:color w:val="1A1A1A"/>
                <w:sz w:val="20"/>
              </w:rPr>
              <w:t xml:space="preserve">  (execution is Phase 2 — Implementation engagement)</w:t>
            </w:r>
          </w:p>
          <w:p>
            <w:r>
              <w:rPr>
                <w:rFonts w:ascii="Calibri" w:hAnsi="Calibri" w:cs="Calibri" w:eastAsia="Calibri"/>
                <w:b w:val="0"/>
                <w:color w:val="1A1A1A"/>
                <w:sz w:val="20"/>
              </w:rPr>
              <w:t>• Third-party SaaS contract renegotiation on behalf of client</w:t>
            </w:r>
          </w:p>
          <w:p>
            <w:r>
              <w:rPr>
                <w:rFonts w:ascii="Calibri" w:hAnsi="Calibri" w:cs="Calibri" w:eastAsia="Calibri"/>
                <w:b w:val="0"/>
                <w:color w:val="1A1A1A"/>
                <w:sz w:val="20"/>
              </w:rPr>
              <w:t xml:space="preserve">  (Vithi provides guidance and recommendations; commercial negotiations remain with client procurement)</w:t>
            </w:r>
          </w:p>
          <w:p>
            <w:r>
              <w:rPr>
                <w:rFonts w:ascii="Calibri" w:hAnsi="Calibri" w:cs="Calibri" w:eastAsia="Calibri"/>
                <w:b w:val="0"/>
                <w:color w:val="1A1A1A"/>
                <w:sz w:val="20"/>
              </w:rPr>
              <w:t>• Hands-on code refactoring or agent installs</w:t>
            </w:r>
          </w:p>
          <w:p>
            <w:r>
              <w:rPr>
                <w:rFonts w:ascii="Calibri" w:hAnsi="Calibri" w:cs="Calibri" w:eastAsia="Calibri"/>
                <w:b w:val="0"/>
                <w:color w:val="1A1A1A"/>
                <w:sz w:val="20"/>
              </w:rPr>
              <w:t>• SLA guarantees on outcome targets — all figures are illustrative and baseline-dependent</w:t>
            </w:r>
          </w:p>
        </w:tc>
      </w:tr>
      <w:tr w:rsidR="00207D6D" w14:paraId="0A181203" w14:textId="77777777">
        <w:trPr>
          <w:jc w:val="center"/>
        </w:trPr>
        <w:tc>
          <w:tcPr>
            <w:tcW w:w="3360" w:type="dxa"/>
            <w:shd w:val="clear" w:color="auto" w:fill="F8FAFC"/>
            <w:tcMar>
              <w:top w:w="80" w:type="dxa"/>
              <w:left w:w="100" w:type="dxa"/>
              <w:bottom w:w="80" w:type="dxa"/>
              <w:right w:w="100" w:type="dxa"/>
            </w:tcMar>
          </w:tcPr>
          <w:p w14:paraId="22F7B586" w14:textId="77777777" w:rsidR="00207D6D" w:rsidRDefault="00000000">
            <w:r>
              <w:rPr>
                <w:rFonts w:ascii="Calibri" w:hAnsi="Calibri" w:cs="Calibri" w:eastAsia="Calibri"/>
                <w:b/>
                <w:color w:val="1A1A1A"/>
                <w:sz w:val="20"/>
              </w:rPr>
              <w:t>7. Expected Effort &amp; Staffing</w:t>
            </w:r>
          </w:p>
        </w:tc>
        <w:tc>
          <w:tcPr>
            <w:tcW w:w="3360" w:type="dxa"/>
            <w:shd w:val="clear" w:color="auto" w:fill="F8FAFC"/>
            <w:tcMar>
              <w:top w:w="80" w:type="dxa"/>
              <w:left w:w="100" w:type="dxa"/>
              <w:bottom w:w="80" w:type="dxa"/>
              <w:right w:w="100" w:type="dxa"/>
            </w:tcMar>
          </w:tcPr>
          <w:p w14:paraId="13FB9E97" w14:textId="77777777" w:rsidR="00207D6D" w:rsidRDefault="00000000">
            <w:r>
              <w:rPr>
                <w:rFonts w:ascii="Calibri" w:hAnsi="Calibri" w:cs="Calibri" w:eastAsia="Calibri"/>
                <w:color w:val="1A1A1A"/>
                <w:sz w:val="20"/>
              </w:rPr>
              <w:t>• Vithi Delivery Team: 1 Principal Architect + 1 Senior SRE (~40–50 hours total billable effort).</w:t>
            </w:r>
            <w:r>
              <w:rPr>
                <w:rFonts w:ascii="Calibri" w:hAnsi="Calibri" w:cs="Calibri" w:eastAsia="Calibri"/>
                <w:color w:val="1A1A1A"/>
                <w:sz w:val="20"/>
              </w:rPr>
              <w:br/>
              <w:t xml:space="preserve">• Customer Team: ~6 hours total across 2 </w:t>
            </w:r>
            <w:r>
              <w:rPr>
                <w:rFonts w:ascii="Calibri" w:hAnsi="Calibri" w:cs="Calibri" w:eastAsia="Calibri"/>
                <w:color w:val="1A1A1A"/>
                <w:sz w:val="20"/>
              </w:rPr>
              <w:lastRenderedPageBreak/>
              <w:t>weeks.</w:t>
            </w:r>
          </w:p>
        </w:tc>
        <w:tc>
          <w:tcPr>
            <w:tcW w:w="3360" w:type="dxa"/>
            <w:shd w:val="clear" w:color="auto" w:fill="F8FAFC"/>
            <w:tcMar>
              <w:top w:w="80" w:type="dxa"/>
              <w:left w:w="100" w:type="dxa"/>
              <w:bottom w:w="80" w:type="dxa"/>
              <w:right w:w="100" w:type="dxa"/>
            </w:tcMar>
          </w:tcPr>
          <w:p w14:paraId="36FFB037" w14:textId="77777777" w:rsidR="00207D6D" w:rsidRDefault="00000000">
            <w:r>
              <w:rPr>
                <w:rFonts w:ascii="Calibri" w:hAnsi="Calibri" w:cs="Calibri" w:eastAsia="Calibri"/>
                <w:color w:val="1A1A1A"/>
                <w:sz w:val="20"/>
              </w:rPr>
              <w:lastRenderedPageBreak/>
              <w:t xml:space="preserve">• </w:t>
            </w:r>
            <w:r w:rsidRPr="00D32CC2">
              <w:rPr>
                <w:rFonts w:ascii="Calibri" w:hAnsi="Calibri" w:cs="Calibri" w:eastAsia="Calibri"/>
                <w:color w:val="1A1A1A"/>
                <w:sz w:val="20"/>
              </w:rPr>
              <w:t>Vithi Delivery Team: 1 Lead Partner / Principal Architect + 1 Senior SRE + 1 Data Platform &amp; SRE Architect (~100–120 hours total billable effort).</w:t>
            </w:r>
            <w:r w:rsidRPr="00D32CC2">
              <w:rPr>
                <w:rFonts w:ascii="Calibri" w:hAnsi="Calibri" w:cs="Calibri" w:eastAsia="Calibri"/>
                <w:color w:val="1A1A1A"/>
                <w:sz w:val="20"/>
              </w:rPr>
              <w:br/>
              <w:t xml:space="preserve">• Customer Team: ~18 hours total across </w:t>
            </w:r>
            <w:r w:rsidRPr="00D32CC2">
              <w:rPr>
                <w:rFonts w:ascii="Calibri" w:hAnsi="Calibri" w:cs="Calibri" w:eastAsia="Calibri"/>
                <w:color w:val="1A1A1A"/>
                <w:sz w:val="20"/>
              </w:rPr>
              <w:lastRenderedPageBreak/>
              <w:t>4 weeks.</w:t>
            </w:r>
          </w:p>
        </w:tc>
      </w:tr>
    </w:tbl>
    <w:p w14:paraId="5877C35F" w14:textId="77777777" w:rsidR="00207D6D" w:rsidRDefault="00000000">
      <w:pPr>
        <w:keepNext/>
        <w:spacing w:before="280" w:after="80"/>
      </w:pPr>
      <w:r>
        <w:rPr>
          <w:rFonts w:ascii="Calibri" w:hAnsi="Calibri" w:cs="Calibri" w:eastAsia="Calibri"/>
          <w:b/>
          <w:color w:val="1A1A1A"/>
          <w:sz w:val="22"/>
        </w:rPr>
        <w:lastRenderedPageBreak/>
        <w:t>3. Business Development (BD) Qualification Decision Tree</w:t>
      </w:r>
    </w:p>
    <w:p w14:paraId="058EFBE4" w14:textId="77777777" w:rsidR="00207D6D" w:rsidRDefault="00000000">
      <w:pPr>
        <w:spacing w:after="120"/>
      </w:pPr>
      <w:r>
        <w:rPr>
          <w:rFonts w:ascii="Calibri" w:hAnsi="Calibri" w:cs="Calibri" w:eastAsia="Calibri"/>
          <w:color w:val="1A1A1A"/>
          <w:sz w:val="22"/>
        </w:rPr>
        <w:t>BD teams should use the 1-Page Pre-Discovery Intake Form during the initial 30-minute introductory call, applying the following qualification rules to recommend the appropriate track:</w:t>
      </w:r>
    </w:p>
    <w:tbl>
      <w:tblPr>
        <w:tblW w:w="0" w:type="auto"/>
        <w:jc w:val="center"/>
        <w:tblLayout w:type="fixed"/>
        <w:tblLook w:val="04A0" w:firstRow="1" w:lastRow="0" w:firstColumn="1" w:lastColumn="0" w:noHBand="0" w:noVBand="1"/>
      </w:tblPr>
      <w:tblGrid>
        <w:gridCol w:w="3360"/>
        <w:gridCol w:w="3360"/>
        <w:gridCol w:w="3360"/>
      </w:tblGrid>
      <w:tr w:rsidR="00207D6D" w14:paraId="79A680C2" w14:textId="77777777">
        <w:trPr>
          <w:jc w:val="center"/>
        </w:trPr>
        <w:tc>
          <w:tcPr>
            <w:tcW w:w="3360" w:type="dxa"/>
            <w:shd w:val="clear" w:color="auto" w:fill="1E3A8A"/>
            <w:tcMar>
              <w:top w:w="100" w:type="dxa"/>
              <w:left w:w="120" w:type="dxa"/>
              <w:bottom w:w="100" w:type="dxa"/>
              <w:right w:w="120" w:type="dxa"/>
            </w:tcMar>
          </w:tcPr>
          <w:p w14:paraId="59620E47" w14:textId="77777777" w:rsidR="00207D6D" w:rsidRDefault="00000000">
            <w:r>
              <w:rPr>
                <w:rFonts w:ascii="Calibri" w:hAnsi="Calibri" w:cs="Calibri" w:eastAsia="Calibri"/>
                <w:b/>
                <w:color w:val="FFFFFF"/>
                <w:sz w:val="20"/>
              </w:rPr>
              <w:t>Customer Scenario / Business Trigger</w:t>
            </w:r>
          </w:p>
        </w:tc>
        <w:tc>
          <w:tcPr>
            <w:tcW w:w="3360" w:type="dxa"/>
            <w:shd w:val="clear" w:color="auto" w:fill="2563EB"/>
            <w:tcMar>
              <w:top w:w="100" w:type="dxa"/>
              <w:left w:w="120" w:type="dxa"/>
              <w:bottom w:w="100" w:type="dxa"/>
              <w:right w:w="120" w:type="dxa"/>
            </w:tcMar>
          </w:tcPr>
          <w:p w14:paraId="21CA9954" w14:textId="77777777" w:rsidR="00207D6D" w:rsidRDefault="00000000">
            <w:r>
              <w:rPr>
                <w:rFonts w:ascii="Calibri" w:hAnsi="Calibri" w:cs="Calibri" w:eastAsia="Calibri"/>
                <w:b/>
                <w:color w:val="FFFFFF"/>
                <w:sz w:val="20"/>
              </w:rPr>
              <w:t>Recommended Offer</w:t>
            </w:r>
          </w:p>
        </w:tc>
        <w:tc>
          <w:tcPr>
            <w:tcW w:w="3360" w:type="dxa"/>
            <w:shd w:val="clear" w:color="auto" w:fill="0F172A"/>
            <w:tcMar>
              <w:top w:w="100" w:type="dxa"/>
              <w:left w:w="120" w:type="dxa"/>
              <w:bottom w:w="100" w:type="dxa"/>
              <w:right w:w="120" w:type="dxa"/>
            </w:tcMar>
          </w:tcPr>
          <w:p w14:paraId="7468F5B1" w14:textId="77777777" w:rsidR="00207D6D" w:rsidRDefault="00000000">
            <w:r>
              <w:rPr>
                <w:rFonts w:ascii="Calibri" w:hAnsi="Calibri" w:cs="Calibri" w:eastAsia="Calibri"/>
                <w:b/>
                <w:color w:val="FFFFFF"/>
                <w:sz w:val="20"/>
              </w:rPr>
              <w:t>Commercial Rationale &amp; Win Strategy</w:t>
            </w:r>
          </w:p>
        </w:tc>
      </w:tr>
      <w:tr w:rsidR="00207D6D" w14:paraId="5774D8E6" w14:textId="77777777">
        <w:trPr>
          <w:jc w:val="center"/>
        </w:trPr>
        <w:tc>
          <w:tcPr>
            <w:tcW w:w="3360" w:type="dxa"/>
            <w:shd w:val="clear" w:color="auto" w:fill="F8FAFC"/>
            <w:tcMar>
              <w:top w:w="80" w:type="dxa"/>
              <w:left w:w="100" w:type="dxa"/>
              <w:bottom w:w="80" w:type="dxa"/>
              <w:right w:w="100" w:type="dxa"/>
            </w:tcMar>
          </w:tcPr>
          <w:p w14:paraId="03A67D41" w14:textId="77777777" w:rsidR="00207D6D" w:rsidRDefault="00000000">
            <w:r>
              <w:rPr>
                <w:rFonts w:ascii="Calibri" w:hAnsi="Calibri" w:cs="Calibri" w:eastAsia="Calibri"/>
                <w:color w:val="1A1A1A"/>
                <w:sz w:val="20"/>
              </w:rPr>
              <w:t>Acute On-Call Crisis / Post-Outage Panic:</w:t>
            </w:r>
            <w:r>
              <w:rPr>
                <w:rFonts w:ascii="Calibri" w:hAnsi="Calibri" w:cs="Calibri" w:eastAsia="Calibri"/>
                <w:color w:val="1A1A1A"/>
                <w:sz w:val="20"/>
              </w:rPr>
              <w:br/>
              <w:t>Customer just had a severe Sev-1 outage or on-call engineers are threatening to quit over 30,000 monthly noisy alarms.</w:t>
            </w:r>
          </w:p>
        </w:tc>
        <w:tc>
          <w:tcPr>
            <w:tcW w:w="3360" w:type="dxa"/>
            <w:shd w:val="clear" w:color="auto" w:fill="F8FAFC"/>
            <w:tcMar>
              <w:top w:w="80" w:type="dxa"/>
              <w:left w:w="100" w:type="dxa"/>
              <w:bottom w:w="80" w:type="dxa"/>
              <w:right w:w="100" w:type="dxa"/>
            </w:tcMar>
          </w:tcPr>
          <w:p w14:paraId="251FD3F2" w14:textId="77777777" w:rsidR="00207D6D" w:rsidRDefault="00000000">
            <w:r>
              <w:rPr>
                <w:rFonts w:ascii="Calibri" w:hAnsi="Calibri" w:cs="Calibri" w:eastAsia="Calibri"/>
                <w:b/>
                <w:color w:val="1A1A1A"/>
                <w:sz w:val="20"/>
              </w:rPr>
              <w:t>Rapid Observability Diagnostic (2 Weeks)</w:t>
            </w:r>
          </w:p>
        </w:tc>
        <w:tc>
          <w:tcPr>
            <w:tcW w:w="3360" w:type="dxa"/>
            <w:shd w:val="clear" w:color="auto" w:fill="F8FAFC"/>
            <w:tcMar>
              <w:top w:w="80" w:type="dxa"/>
              <w:left w:w="100" w:type="dxa"/>
              <w:bottom w:w="80" w:type="dxa"/>
              <w:right w:w="100" w:type="dxa"/>
            </w:tcMar>
          </w:tcPr>
          <w:p w14:paraId="5112C0A2" w14:textId="77777777" w:rsidR="00207D6D" w:rsidRDefault="00000000">
            <w:r>
              <w:rPr>
                <w:rFonts w:ascii="Calibri" w:hAnsi="Calibri" w:cs="Calibri" w:eastAsia="Calibri"/>
                <w:color w:val="1A1A1A"/>
                <w:sz w:val="20"/>
              </w:rPr>
              <w:t>Low-friction, fast time-to-value. Solves the immediate bleeding with a 30-day alert reset plan, earning trust and leading directly to a Phase-2 SRE implementation contract.</w:t>
            </w:r>
          </w:p>
        </w:tc>
      </w:tr>
      <w:tr w:rsidR="00207D6D" w14:paraId="626F77D3" w14:textId="77777777">
        <w:trPr>
          <w:jc w:val="center"/>
        </w:trPr>
        <w:tc>
          <w:tcPr>
            <w:tcW w:w="3360" w:type="dxa"/>
            <w:shd w:val="clear" w:color="auto" w:fill="FFFFFF"/>
            <w:tcMar>
              <w:top w:w="80" w:type="dxa"/>
              <w:left w:w="100" w:type="dxa"/>
              <w:bottom w:w="80" w:type="dxa"/>
              <w:right w:w="100" w:type="dxa"/>
            </w:tcMar>
          </w:tcPr>
          <w:p w14:paraId="38B1C56C" w14:textId="77777777" w:rsidR="00207D6D" w:rsidRDefault="00000000">
            <w:r>
              <w:rPr>
                <w:rFonts w:ascii="Calibri" w:hAnsi="Calibri" w:cs="Calibri" w:eastAsia="Calibri"/>
                <w:color w:val="1A1A1A"/>
                <w:sz w:val="20"/>
              </w:rPr>
              <w:t>Tool Sprawl / SaaS Ingestion Shock:</w:t>
            </w:r>
            <w:r>
              <w:rPr>
                <w:rFonts w:ascii="Calibri" w:hAnsi="Calibri" w:cs="Calibri" w:eastAsia="Calibri"/>
                <w:color w:val="1A1A1A"/>
                <w:sz w:val="20"/>
              </w:rPr>
              <w:br/>
              <w:t>CFO or CIO demands 20–30% telemetry cost reduction across overlapping Datadog, Splunk, and CloudWatch contracts.</w:t>
            </w:r>
          </w:p>
        </w:tc>
        <w:tc>
          <w:tcPr>
            <w:tcW w:w="3360" w:type="dxa"/>
            <w:shd w:val="clear" w:color="auto" w:fill="FFFFFF"/>
            <w:tcMar>
              <w:top w:w="80" w:type="dxa"/>
              <w:left w:w="100" w:type="dxa"/>
              <w:bottom w:w="80" w:type="dxa"/>
              <w:right w:w="100" w:type="dxa"/>
            </w:tcMar>
          </w:tcPr>
          <w:p w14:paraId="16EFA038" w14:textId="77777777" w:rsidR="00207D6D" w:rsidRDefault="00000000">
            <w:r>
              <w:rPr>
                <w:rFonts w:ascii="Calibri" w:hAnsi="Calibri" w:cs="Calibri" w:eastAsia="Calibri"/>
                <w:b/>
                <w:color w:val="1A1A1A"/>
                <w:sz w:val="20"/>
              </w:rPr>
              <w:t>Full Observability Assessment (4 Weeks)</w:t>
            </w:r>
          </w:p>
        </w:tc>
        <w:tc>
          <w:tcPr>
            <w:tcW w:w="3360" w:type="dxa"/>
            <w:shd w:val="clear" w:color="auto" w:fill="FFFFFF"/>
            <w:tcMar>
              <w:top w:w="80" w:type="dxa"/>
              <w:left w:w="100" w:type="dxa"/>
              <w:bottom w:w="80" w:type="dxa"/>
              <w:right w:w="100" w:type="dxa"/>
            </w:tcMar>
          </w:tcPr>
          <w:p w14:paraId="01E251F9" w14:textId="77777777" w:rsidR="00207D6D" w:rsidRDefault="00000000">
            <w:r>
              <w:rPr>
                <w:rFonts w:ascii="Calibri" w:hAnsi="Calibri" w:cs="Calibri" w:eastAsia="Calibri"/>
                <w:color w:val="1A1A1A"/>
                <w:sz w:val="20"/>
              </w:rPr>
              <w:t>Tool rationalization (O10) and log tiering (O7) require deep contract analysis (EV11) and 3-year TCO modeling that cannot be credibly executed in 2 weeks.</w:t>
            </w:r>
          </w:p>
        </w:tc>
      </w:tr>
      <w:tr w:rsidR="00207D6D" w14:paraId="715E0D46" w14:textId="77777777">
        <w:trPr>
          <w:jc w:val="center"/>
        </w:trPr>
        <w:tc>
          <w:tcPr>
            <w:tcW w:w="3360" w:type="dxa"/>
            <w:shd w:val="clear" w:color="auto" w:fill="F8FAFC"/>
            <w:tcMar>
              <w:top w:w="80" w:type="dxa"/>
              <w:left w:w="100" w:type="dxa"/>
              <w:bottom w:w="80" w:type="dxa"/>
              <w:right w:w="100" w:type="dxa"/>
            </w:tcMar>
          </w:tcPr>
          <w:p w14:paraId="6954C699" w14:textId="77777777" w:rsidR="00207D6D" w:rsidRDefault="00000000">
            <w:r>
              <w:rPr>
                <w:rFonts w:ascii="Calibri" w:hAnsi="Calibri" w:cs="Calibri" w:eastAsia="Calibri"/>
                <w:color w:val="1A1A1A"/>
                <w:sz w:val="20"/>
              </w:rPr>
              <w:t>Modern Data Platform &amp; Silent ETL Failures:</w:t>
            </w:r>
            <w:r>
              <w:rPr>
                <w:rFonts w:ascii="Calibri" w:hAnsi="Calibri" w:cs="Calibri" w:eastAsia="Calibri"/>
                <w:color w:val="1A1A1A"/>
                <w:sz w:val="20"/>
              </w:rPr>
              <w:br/>
              <w:t>Head of Data reports that Airflow batch delays and schema drift silently break executive BI dashboards and P&amp;L reports.</w:t>
            </w:r>
          </w:p>
        </w:tc>
        <w:tc>
          <w:tcPr>
            <w:tcW w:w="3360" w:type="dxa"/>
            <w:shd w:val="clear" w:color="auto" w:fill="F8FAFC"/>
            <w:tcMar>
              <w:top w:w="80" w:type="dxa"/>
              <w:left w:w="100" w:type="dxa"/>
              <w:bottom w:w="80" w:type="dxa"/>
              <w:right w:w="100" w:type="dxa"/>
            </w:tcMar>
          </w:tcPr>
          <w:p w14:paraId="7453D078" w14:textId="77777777" w:rsidR="00207D6D" w:rsidRDefault="00000000">
            <w:r>
              <w:rPr>
                <w:rFonts w:ascii="Calibri" w:hAnsi="Calibri" w:cs="Calibri" w:eastAsia="Calibri"/>
                <w:b/>
                <w:color w:val="1A1A1A"/>
                <w:sz w:val="20"/>
              </w:rPr>
              <w:t>Full Observability Assessment (4 Weeks)</w:t>
            </w:r>
          </w:p>
        </w:tc>
        <w:tc>
          <w:tcPr>
            <w:tcW w:w="3360" w:type="dxa"/>
            <w:shd w:val="clear" w:color="auto" w:fill="F8FAFC"/>
            <w:tcMar>
              <w:top w:w="80" w:type="dxa"/>
              <w:left w:w="100" w:type="dxa"/>
              <w:bottom w:w="80" w:type="dxa"/>
              <w:right w:w="100" w:type="dxa"/>
            </w:tcMar>
          </w:tcPr>
          <w:p w14:paraId="4E717338" w14:textId="77777777" w:rsidR="00207D6D" w:rsidRDefault="00000000">
            <w:r>
              <w:rPr>
                <w:rFonts w:ascii="Calibri" w:hAnsi="Calibri" w:cs="Calibri" w:eastAsia="Calibri"/>
                <w:color w:val="1A1A1A"/>
                <w:sz w:val="20"/>
              </w:rPr>
              <w:t>Data pipeline observability (O8) and data product health (O9) require inspecting DAG logs (EV09) and data quality tests (EV10) across analytics squads.</w:t>
            </w:r>
          </w:p>
        </w:tc>
      </w:tr>
      <w:tr w:rsidR="00207D6D" w14:paraId="4FF422B3" w14:textId="77777777">
        <w:trPr>
          <w:jc w:val="center"/>
        </w:trPr>
        <w:tc>
          <w:tcPr>
            <w:tcW w:w="3360" w:type="dxa"/>
            <w:shd w:val="clear" w:color="auto" w:fill="FFFFFF"/>
            <w:tcMar>
              <w:top w:w="80" w:type="dxa"/>
              <w:left w:w="100" w:type="dxa"/>
              <w:bottom w:w="80" w:type="dxa"/>
              <w:right w:w="100" w:type="dxa"/>
            </w:tcMar>
          </w:tcPr>
          <w:p w14:paraId="40301FC7" w14:textId="77777777" w:rsidR="00207D6D" w:rsidRDefault="00000000">
            <w:r>
              <w:rPr>
                <w:rFonts w:ascii="Calibri" w:hAnsi="Calibri" w:cs="Calibri" w:eastAsia="Calibri"/>
                <w:color w:val="1A1A1A"/>
                <w:sz w:val="20"/>
              </w:rPr>
              <w:t>Budget-Constrained / Hesitant Stakeholder:</w:t>
            </w:r>
            <w:r>
              <w:rPr>
                <w:rFonts w:ascii="Calibri" w:hAnsi="Calibri" w:cs="Calibri" w:eastAsia="Calibri"/>
                <w:color w:val="1A1A1A"/>
                <w:sz w:val="20"/>
              </w:rPr>
              <w:br/>
              <w:t>Client wants to improve reliability but cannot commit senior engineering bandwidth or large upfront consulting budgets.</w:t>
            </w:r>
          </w:p>
        </w:tc>
        <w:tc>
          <w:tcPr>
            <w:tcW w:w="3360" w:type="dxa"/>
            <w:shd w:val="clear" w:color="auto" w:fill="FFFFFF"/>
            <w:tcMar>
              <w:top w:w="80" w:type="dxa"/>
              <w:left w:w="100" w:type="dxa"/>
              <w:bottom w:w="80" w:type="dxa"/>
              <w:right w:w="100" w:type="dxa"/>
            </w:tcMar>
          </w:tcPr>
          <w:p w14:paraId="113FFE1F" w14:textId="77777777" w:rsidR="00207D6D" w:rsidRDefault="00000000">
            <w:r>
              <w:rPr>
                <w:rFonts w:ascii="Calibri" w:hAnsi="Calibri" w:cs="Calibri" w:eastAsia="Calibri"/>
                <w:b/>
                <w:color w:val="1A1A1A"/>
                <w:sz w:val="20"/>
              </w:rPr>
              <w:t>Rapid Observability Diagnostic (2 Weeks)</w:t>
            </w:r>
          </w:p>
        </w:tc>
        <w:tc>
          <w:tcPr>
            <w:tcW w:w="3360" w:type="dxa"/>
            <w:shd w:val="clear" w:color="auto" w:fill="FFFFFF"/>
            <w:tcMar>
              <w:top w:w="80" w:type="dxa"/>
              <w:left w:w="100" w:type="dxa"/>
              <w:bottom w:w="80" w:type="dxa"/>
              <w:right w:w="100" w:type="dxa"/>
            </w:tcMar>
          </w:tcPr>
          <w:p w14:paraId="5F04A328" w14:textId="77777777" w:rsidR="00207D6D" w:rsidRDefault="00000000">
            <w:r>
              <w:rPr>
                <w:rFonts w:ascii="Calibri" w:hAnsi="Calibri" w:cs="Calibri" w:eastAsia="Calibri"/>
                <w:color w:val="1A1A1A"/>
                <w:sz w:val="20"/>
              </w:rPr>
              <w:t>Easiest commercial close. Requires only ~6 hours of customer time and delivers an audited Tier-1 scorecard and executive readout in 10 business days.</w:t>
            </w:r>
          </w:p>
        </w:tc>
      </w:tr>
    </w:tbl>
    <w:p w14:paraId="63E41FD1" w14:textId="77777777" w:rsidR="00207D6D" w:rsidRDefault="00000000">
      <w:pPr>
        <w:keepNext/>
        <w:spacing w:before="280" w:after="80"/>
      </w:pPr>
      <w:r>
        <w:rPr>
          <w:rFonts w:ascii="Calibri" w:hAnsi="Calibri" w:cs="Calibri" w:eastAsia="Calibri"/>
          <w:b/>
          <w:color w:val="1A1A1A"/>
          <w:sz w:val="22"/>
        </w:rPr>
        <w:t>4. Governance Gate: Assessment Kickoff Scope &amp; Exclusions Charter</w:t>
      </w:r>
    </w:p>
    <w:p w14:paraId="41A57941" w14:textId="77777777" w:rsidR="00207D6D" w:rsidRDefault="00000000">
      <w:pPr>
        <w:spacing w:after="120"/>
      </w:pPr>
      <w:r>
        <w:rPr>
          <w:rFonts w:ascii="Calibri" w:hAnsi="Calibri" w:cs="Calibri" w:eastAsia="Calibri"/>
          <w:color w:val="1A1A1A"/>
          <w:sz w:val="22"/>
        </w:rPr>
        <w:t>Prior to starting any technical diagnostic, the Customer Executive Sponsor and Vithi Principal Architect must sign the standard Assessment Kickoff Scope &amp; Exclusions Charter. This formal governance gate locks down: (1) In-scope Tier-1 services, (2) AWS Production Account IDs, (3) Authorized tools and evidence sources, (4) Named customer squad leads and hour caps, (5) 100% read-only SecurityAudit access model, and (6) Explicit exclusions (e.g. non-Tier-1 services, dev/qa environments, hands-on remediation). This prevents a focused 2-week diagnostic from expanding into an unconstrained enterprise-wide review.</w:t>
      </w:r>
    </w:p>
    <w:sectPr w:rsidR="00207D6D"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449678">
    <w:abstractNumId w:val="8"/>
  </w:num>
  <w:num w:numId="2" w16cid:durableId="1545941465">
    <w:abstractNumId w:val="6"/>
  </w:num>
  <w:num w:numId="3" w16cid:durableId="1640840622">
    <w:abstractNumId w:val="5"/>
  </w:num>
  <w:num w:numId="4" w16cid:durableId="1880586219">
    <w:abstractNumId w:val="4"/>
  </w:num>
  <w:num w:numId="5" w16cid:durableId="1162355041">
    <w:abstractNumId w:val="7"/>
  </w:num>
  <w:num w:numId="6" w16cid:durableId="435636452">
    <w:abstractNumId w:val="3"/>
  </w:num>
  <w:num w:numId="7" w16cid:durableId="1141194044">
    <w:abstractNumId w:val="2"/>
  </w:num>
  <w:num w:numId="8" w16cid:durableId="1360203033">
    <w:abstractNumId w:val="1"/>
  </w:num>
  <w:num w:numId="9" w16cid:durableId="459883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425"/>
    <w:rsid w:val="00207D6D"/>
    <w:rsid w:val="0029639D"/>
    <w:rsid w:val="00326F90"/>
    <w:rsid w:val="00AA1D8D"/>
    <w:rsid w:val="00B47730"/>
    <w:rsid w:val="00CB0664"/>
    <w:rsid w:val="00D32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272F04"/>
  <w14:defaultImageDpi w14:val="300"/>
  <w15:docId w15:val="{314A01D6-8FB0-4CAC-91EB-229E8B75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1056</Words>
  <Characters>6022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Subrahmanyam Yalla</cp:lastModifiedBy>
  <cp:revision>2</cp:revision>
  <dcterms:created xsi:type="dcterms:W3CDTF">2013-12-23T23:15:00Z</dcterms:created>
  <dcterms:modified xsi:type="dcterms:W3CDTF">2026-09-25T12:31:00Z</dcterms:modified>
  <cp:category/>
</cp:coreProperties>
</file>