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VITHI IT SOLUTIONS — OPERATIONAL INTELLIGENCE &amp; SRE PRACTICE</w:t>
      </w:r>
    </w:p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Observability Readiness Assessment</w:t>
      </w:r>
    </w:p>
    <w:p>
      <w:pPr>
        <w:spacing w:before="0" w:after="200"/>
      </w:pPr>
      <w:r>
        <w:rPr>
          <w:rFonts w:ascii="Calibri" w:hAnsi="Calibri" w:cs="Calibri" w:eastAsia="Calibri"/>
          <w:i/>
          <w:color w:val="1A1A1A"/>
          <w:sz w:val="22"/>
        </w:rPr>
        <w:t>Stop firefighting blind. Move from fragmented tools and alert storms to correlated, measurable, SRE-driven reliability.</w:t>
      </w: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The Enterprise Challenge: Observability Debt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Modern cloud enterprises spend hundreds of thousands of dollars annually on telemetry tools (Datadog, Dynatrace, CloudWatch, Splunk) but still cannot answer three fundamental questions during an outage: What broke? Who owns it? And what is the immediate blast radius?</w:t>
      </w: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Symptoms We Identify &amp; Remediate on the Ground: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Disconnected Telemetry: </w:t>
      </w:r>
      <w:r>
        <w:rPr>
          <w:rFonts w:ascii="Calibri" w:hAnsi="Calibri" w:cs="Calibri" w:eastAsia="Calibri"/>
          <w:color w:val="1A1A1A"/>
          <w:sz w:val="22"/>
        </w:rPr>
        <w:t>Telemetries exist in silos: Metrics, logs, and distributed traces do not connect across async message queues (Kafka) or serverless functions.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Paging Fatigue &amp; Noise: </w:t>
      </w:r>
      <w:r>
        <w:rPr>
          <w:rFonts w:ascii="Calibri" w:hAnsi="Calibri" w:cs="Calibri" w:eastAsia="Calibri"/>
          <w:color w:val="1A1A1A"/>
          <w:sz w:val="22"/>
        </w:rPr>
        <w:t>Engineers receive thousands of notifications per week; over 60% are non-actionable false alarms, driving severe alert fatigue and burnout.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Slow Root-Cause Analysis: </w:t>
      </w:r>
      <w:r>
        <w:rPr>
          <w:rFonts w:ascii="Calibri" w:hAnsi="Calibri" w:cs="Calibri" w:eastAsia="Calibri"/>
          <w:color w:val="1A1A1A"/>
          <w:sz w:val="22"/>
        </w:rPr>
        <w:t>Production incidents require manual 6-person war rooms; Mean Time to Recovery (MTTR) exceeds 2 to 3 hours.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Subjective Reliability: </w:t>
      </w:r>
      <w:r>
        <w:rPr>
          <w:rFonts w:ascii="Calibri" w:hAnsi="Calibri" w:cs="Calibri" w:eastAsia="Calibri"/>
          <w:color w:val="1A1A1A"/>
          <w:sz w:val="22"/>
        </w:rPr>
        <w:t>Tier-1 customer services lack measurable Service Level Objectives (SLOs) and error budget release freeze policies.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Ingestion Bill Shock: </w:t>
      </w:r>
      <w:r>
        <w:rPr>
          <w:rFonts w:ascii="Calibri" w:hAnsi="Calibri" w:cs="Calibri" w:eastAsia="Calibri"/>
          <w:color w:val="1A1A1A"/>
          <w:sz w:val="22"/>
        </w:rPr>
        <w:t>Log ingestion bills spike by 30–50% due to unmanaged DEBUG retention and triple-indexing across duplicate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DATA, PIPELINE, DASHBOARD &amp; AI-FLOW OBSERVABILITY EXTENSION (O8 — O12)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Vithi's framework extends beyond traditional APM into four critical high-value areas: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 xml:space="preserve">  O8 — Data Pipeline Observability: Batch/stream execution SLA callbacks; Airflow/Glue/Spark failure detection; queue lag monitoring.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 xml:space="preserve">  O9 — Data Product &amp; Business Dashboard Observability: Freshness SLIs; schema drift detection; stale executive BI dashboard warnings.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 xml:space="preserve">  O10 — Tool Architecture &amp; Rationalization: OpenTelemetry adoption; duplicate tool decommission; vendor lock-in elimination.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 xml:space="preserve">  O11 — AI / GenAI &amp; LLM Observability: Token cost attribution; inference latency; RAG retrieval quality governance.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 xml:space="preserve">  O12 — Sustainability Observability (Modular): Cloud carbon footprint tracking; green compute rightsizing; ESG reporting integration.</w:t>
            </w:r>
          </w:p>
          <w:p>
            <w:r>
              <w:rPr>
                <w:rFonts w:ascii="Calibri" w:hAnsi="Calibri" w:cs="Calibri" w:eastAsia="Calibri"/>
                <w:color w:val="1A1A1A"/>
                <w:sz w:val="20"/>
              </w:rPr>
              <w:t>Especially relevant where critical data pipelines, dashboards, customer-facing services, or AI data flows are impacted by blind spots, noisy alerts, or slow root-cause analysis.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Why Vithi? Strategic Differentiation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Why choose Vithi over product vendors, global SIs, or relying solely on internal teams: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Concern</w:t>
            </w:r>
          </w:p>
        </w:tc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Vithi Consultative Answer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Why not my existing observability tool?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We assess whether your current tools are actually delivering ownership, correlation, SLOs, incident reduction and business evidence.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Why not a large SI?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We start with a focused two-week evidence sprint, not an open-ended multi-year transformation program.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Why not our internal SRE / Platform team?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Your internal team knows the environment best. Vithi helps convert that knowledge into an evidence-backed baseline, cross-team agreement, prioritised roadmap, and executable improvement plan—solving bandwidth constraints and securing executive budget.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Why Vithi specifically?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Tool-neutral, data-pipeline aware, senior-led SRE engineering authority, business-impact-led, and rapid implementation-linked.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3. The 4-Stage Reliability Transformation Journey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Transformation Stage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Key Deliverables &amp; Milestones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Core Business Objective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 Assessment (2 Wks Rapid / 4 Wks Full)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A (2 Wks): Rapid Scorecard (O0–O6), Core Evidence (EV01–EV06), Alert Reset Plan.</w:t>
              <w:br/>
              <w:t>Track B (4 Wks): Enterprise Scorecard (O0–O12), 13-Evidence Audit (EV01–EV13), Tool Rationalization &amp; 3-Year Value Model.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Establish audited baseline; identify alert noise sources; uncover tooling overlap and financial leakage.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 Implementation Sprint (Days 30–90)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30-Day Alert Reset; Tier-1 Runbook Alignment; OpenTelemetry Standards; Core SLI/SLO Deployment.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Stop the bleeding: modeled opportunity to reduce alert noise by 40–60%+ (customer-baseline-dependent); eliminate single-point blindspots across Kafka &amp; serverless.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 Managed SRE &amp; FinOps (Ongoing)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Monthly Alert Tuning; Blameless Post-Mortem Reviews; Log Lifecycle Tiering; Reliability KPI Executive Reporting.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Ensure long-term operational excellence; enforce error budget policies; control observability SaaS costs.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 Intelligent Operations (Horizon 3)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AIOps Anomaly Detection; Automated Remediation Runbooks; GenAI Incident Summaries; LLM Telemetry Gateway.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Transition from proactive alerting to autonomous self-healing and enterprise AI governance.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4. Illustrative Operational Targets (Agreed Post-Diagnostic)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Operational Metric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Current State Baseline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Illustrative Target State (12 Mo)*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Modeled Business Impact*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Mean Time to Recovery (MTTR)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165 minutes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&lt;45 minutes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Modeled 50–70%+ reduction in MTTR (customer-baseline-dependent), minimizing revenue drop exposure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Actionable Alert Precision Rate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39% actionable (61% noise)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≥80% actionable (&lt;8% noise)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Modeled opportunity to reclaim 250–350+ engineering hours/mo; relieves on-call fatigue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Duplicate / Noisy Alert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18% duplicate / storm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≤7% isolated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Automated grouping prevents cascading alert storms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Tier-1 SLI / SLO Governance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0% coverage (Subjective)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100% of critical customer paths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Error budgets halt unstable releases; protects SLAs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Ingestion Efficiency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Sprawling duplicate indexing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Consolidated OpenTelemetry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Modeled 20–25% reduction in telemetry ingestion overhead (subject to baseline audit)</w:t>
            </w:r>
          </w:p>
        </w:tc>
      </w:tr>
      <w:tr>
        <w:tc>
          <w:tcPr>
            <w:tcW w:type="dxa" w:w="9936"/>
            <w:gridSpan w:val="4"/>
          </w:tcPr>
          <w:p>
            <w:r>
              <w:rPr>
                <w:rFonts w:ascii="Calibri" w:hAnsi="Calibri" w:cs="Calibri" w:eastAsia="Calibri"/>
                <w:b w:val="0"/>
                <w:i/>
                <w:color w:val="1A1A1A"/>
                <w:sz w:val="20"/>
              </w:rPr>
              <w:t>*Note: Metrics shown are illustrative targets based on historical enterprise engagements. Final targets are customer-baseline-dependent and formally agreed after the diagnostic.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5. How Vithi Works With Your Internal SRE &amp; Platform Squads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THE VITHI INTERNAL COLLABORATION CHARTER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"Your internal team knows the environment best. Vithi helps convert that knowledge into an evidence-backed baseline, cross-team agreement, prioritised roadmap, and an executable improvement plan — solving bandwidth constraints, resolving cross-team silos, and securing executive budget."</w:t>
            </w:r>
          </w:p>
        </w:tc>
      </w:tr>
    </w:tbl>
    <w:p>
      <w:pPr>
        <w:spacing w:after="60"/>
      </w:pP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1. No-Blame Assessment: </w:t>
      </w:r>
      <w:r>
        <w:rPr>
          <w:rFonts w:ascii="Calibri" w:hAnsi="Calibri" w:cs="Calibri" w:eastAsia="Calibri"/>
          <w:color w:val="1A1A1A"/>
          <w:sz w:val="22"/>
        </w:rPr>
        <w:t>Focus strictly on telemetry gaps and architectural bottlenecks—never individual or squad competency.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2. Evidence Over Opinion: </w:t>
      </w:r>
      <w:r>
        <w:rPr>
          <w:rFonts w:ascii="Calibri" w:hAnsi="Calibri" w:cs="Calibri" w:eastAsia="Calibri"/>
          <w:color w:val="1A1A1A"/>
          <w:sz w:val="22"/>
        </w:rPr>
        <w:t>Replace subjective opinions between AppDev and Ops with physical telemetry and 90-day alert data.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3. Read-Only Walkthroughs Where Possible: </w:t>
      </w:r>
      <w:r>
        <w:rPr>
          <w:rFonts w:ascii="Calibri" w:hAnsi="Calibri" w:cs="Calibri" w:eastAsia="Calibri"/>
          <w:color w:val="1A1A1A"/>
          <w:sz w:val="22"/>
        </w:rPr>
        <w:t>Operate under AWS SecurityAudit roles. Zero production agent installs; zero risk to running workloads.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4. Existing Tool Reuse First: </w:t>
      </w:r>
      <w:r>
        <w:rPr>
          <w:rFonts w:ascii="Calibri" w:hAnsi="Calibri" w:cs="Calibri" w:eastAsia="Calibri"/>
          <w:color w:val="1A1A1A"/>
          <w:sz w:val="22"/>
        </w:rPr>
        <w:t>Prioritize tuning existing tooling (Datadog, CloudWatch, Grafana, PagerDuty) before proposing new software.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5. Internal Team Validates Findings: </w:t>
      </w:r>
      <w:r>
        <w:rPr>
          <w:rFonts w:ascii="Calibri" w:hAnsi="Calibri" w:cs="Calibri" w:eastAsia="Calibri"/>
          <w:color w:val="1A1A1A"/>
          <w:sz w:val="22"/>
        </w:rPr>
        <w:t>Internal team leads review, challenge, and calibrate all raw scoring before executive presentations.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6. Roadmap Co-Created With Owners: </w:t>
      </w:r>
      <w:r>
        <w:rPr>
          <w:rFonts w:ascii="Calibri" w:hAnsi="Calibri" w:cs="Calibri" w:eastAsia="Calibri"/>
          <w:color w:val="1A1A1A"/>
          <w:sz w:val="22"/>
        </w:rPr>
        <w:t>Implementation sprint menus and delivery milestones are co-authored with internal squad owners.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7. Quick Wins Identified Without Disrupting Operations: </w:t>
      </w:r>
      <w:r>
        <w:rPr>
          <w:rFonts w:ascii="Calibri" w:hAnsi="Calibri" w:cs="Calibri" w:eastAsia="Calibri"/>
          <w:color w:val="1A1A1A"/>
          <w:sz w:val="22"/>
        </w:rPr>
        <w:t>Deliver 30-day alert noise resets immediately to relieve on-call engineers without disrupting ongoing sprints.</w:t>
      </w:r>
    </w:p>
    <w:p>
      <w:r>
        <w:rPr>
          <w:rFonts w:ascii="Calibri" w:hAnsi="Calibri" w:cs="Calibri" w:eastAsia="Calibri"/>
          <w:b/>
          <w:color w:val="1A1A1A"/>
          <w:sz w:val="22"/>
        </w:rPr>
        <w:t>Vithi Canonical Observability Dimensions Assessed (O0–O12):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O12: Carbon &amp; Sustainability Observability  [Reserved — Modular]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O11: AI / GenAI &amp; LLM Observability Extension  [Modular]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O10: Tool Architecture, Rationalization &amp; Lock-in Governance  [Extension]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O9: Data Product &amp; Business Dashboard Observability  [Extension]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O8: Data Pipeline Observability (Execution &amp; Reliability)  [Extension]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O7: Logging Cost, Retention &amp; Audit Governance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O6: Incident Response, MTTR &amp; Continuous RCA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O5: Dashboards, Runbooks &amp; Operational Readiness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O4: SLI, SLO &amp; Error Budget Governance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O3: Alert Quality, Signal-to-Noise &amp; Owner Routing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O2: Correlation, Distributed Tracing &amp; Dependency Visibility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O1: Telemetry Ingestion, Coverage &amp; Standards</w:t>
      </w:r>
    </w:p>
    <w:p>
      <w:r>
        <w:rPr>
          <w:rFonts w:ascii="Calibri" w:hAnsi="Calibri" w:cs="Calibri" w:eastAsia="Calibri"/>
          <w:color w:val="1A1A1A"/>
          <w:sz w:val="22"/>
        </w:rPr>
        <w:t xml:space="preserve">  O0: Observability Strategy, Ownership &amp; Governance</w:t>
      </w: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6. Standard Engagement Options: Rapid Diagnostic (2 Wks) vs. Full Assessment (4 Wks)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Vithi offers two standard, fixed-timeline engagement variants operating under 100% read-only AWS SecurityAudit roles with zero agent installs: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color w:val="1A1A1A"/>
          <w:sz w:val="22"/>
        </w:rPr>
        <w:t>• Track A — Rapid Observability Diagnostic (2 Weeks / 10 Days): Focused on 1–3 Tier-1 critical customer services and core dimensions (O0–O6). Audits core evidence (EV01–EV06) to deliver a 30-day alert noise reset plan and executive scorecard with minimal customer effort (~6 hrs total). Ideal for acute outage recovery or alert fatigue.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color w:val="1A1A1A"/>
          <w:sz w:val="22"/>
        </w:rPr>
        <w:t>• Track B — Full Observability Assessment (4 Weeks / 20 Days): Comprehensive enterprise coverage across all canonical dimensions (O0–O12). Audits full evidence (EV01–EV13) to deliver complete tool rationalization (O10), data pipeline &amp; table health audits (O8/O9), 3-year capacity/FinOps modeling, and board-ready executive roadmap. Ideal for tool consolidation and strategic modernization.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color w:val="1A1A1A"/>
          <w:sz w:val="22"/>
        </w:rPr>
        <w:t>1. 30-Minute Business Trigger Discovery: Complete the lightweight 1-Page Pre-Discovery Form with leadership to capture acute pain, tool footprint, and select Track A or Track B.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color w:val="1A1A1A"/>
          <w:sz w:val="22"/>
        </w:rPr>
        <w:t>2. Scope &amp; Exclusions Charter Alignment: On Day 1, Customer and Vithi execute the Assessment Kickoff Charter, locking down in-scope Tier-1 services, accounts, read-only access, and explicit exclusions.</w:t>
      </w:r>
    </w:p>
    <w:p>
      <w:r>
        <w:rPr>
          <w:rFonts w:ascii="Calibri" w:hAnsi="Calibri" w:cs="Calibri" w:eastAsia="Calibri"/>
          <w:color w:val="1A1A1A"/>
          <w:sz w:val="22"/>
        </w:rPr>
        <w:t>3. Evidence Diagnostic &amp; Executive Readout: Execute read-only evidence audit, calibrate maturity findings with squad leads, and present board-ready transformation roadmap.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| Observability Readiness One-Pager | www.vithi.com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OPERATIONAL INTELLIGENCE &amp; SRE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