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cs="Calibri" w:eastAsia="Calibri"/>
          <w:color w:val="1F3864"/>
          <w:sz w:val="36"/>
        </w:rPr>
        <w:t>Rapid Observability Diagnostic</w:t>
      </w:r>
    </w:p>
    <w:p>
      <w:pPr>
        <w:jc w:val="center"/>
      </w:pPr>
      <w:r>
        <w:rPr>
          <w:rFonts w:ascii="Calibri" w:hAnsi="Calibri" w:cs="Calibri" w:eastAsia="Calibri"/>
          <w:b/>
          <w:color w:val="1A1A1A"/>
          <w:sz w:val="22"/>
        </w:rPr>
        <w:t>Track A  |  2-Week Engagement  |  Scope: O0-O6  |  Evidence: EV01-EV06</w:t>
      </w:r>
    </w:p>
    <w:p/>
    <w:p>
      <w:r>
        <w:rPr>
          <w:rFonts w:ascii="Calibri" w:hAnsi="Calibri" w:cs="Calibri" w:eastAsia="Calibri"/>
          <w:i/>
          <w:color w:val="1A1A1A"/>
          <w:sz w:val="22"/>
        </w:rPr>
        <w:t>This document provides a complete, standalone offer brief for the Rapid Observability Diagnostic. It is designed for Business Development (BD) and pre-sales teams to position, scope, and agree this engagement with customers. All outcome figures are illustrative targets dependent on the customer's baseline evidence. No fixed outcomes are guaranteed.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1: Scope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Track A Coverage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Observability Strategy, Ownership &amp; Governance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O0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Telemetry Ingestion, Coverage &amp; Standards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O1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Correlation, Distributed Tracing &amp; Dependency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O2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Alert Quality, Signal-to-Noise &amp; Owner Routing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O3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SLI, SLO &amp; Error Budget Governance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O4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Dashboards, Runbooks &amp; Operational Readiness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O5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Incident Response, MTTR &amp; Continuous RCA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O6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Included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Logging Cost, Retention &amp; Audit Governance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O7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O8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Product &amp; Business Dashboard Observability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O9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Tool Architecture &amp; Rationalization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O10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AI / GenAI &amp; LLM Observability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O11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Carbon &amp; Sustainability Observability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O12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Excluded - Full Assessment only</w:t>
            </w:r>
          </w:p>
        </w:tc>
      </w:tr>
    </w:tbl>
    <w:p/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Application estate: Single Tier-1 application domain (cloud-native or hybrid)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Multi-cloud or legacy estate coverage: excluded from this track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Tool rationalization, cost modelling, and data observability: excluded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Maturity scale: Vithi evidence-based maturity scale (Levels 1-5)</w:t>
      </w:r>
    </w:p>
    <w:p>
      <w:r>
        <w:rPr>
          <w:rFonts w:ascii="Calibri" w:hAnsi="Calibri" w:cs="Calibri" w:eastAsia="Calibri"/>
          <w:i/>
          <w:color w:val="1A1A1A"/>
          <w:sz w:val="22"/>
        </w:rPr>
        <w:t>Note: Scope boundary confirmed and signed off at kick-off via the Vithi Scope &amp; Exclusions Charter.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2: Customer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Mandatory / Optional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Estimated Time Commitment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Platform Lead / SRE Lead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Mandatory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3-4 hours across 2 weeks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Engineering Manager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Mandatory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2-3 hours (kick-off + readout)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On-Call / Operations Engineer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Recommended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1-2 hours (evidence review session)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Product Owner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Optional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1 hour (readout only)</w:t>
            </w:r>
          </w:p>
        </w:tc>
      </w:tr>
    </w:tbl>
    <w:p/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Total customer time investment: approximately 6-8 hours across 2 weeks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No dedicated war-room or full-team mobilisation required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All sessions can be conducted remotely via video call</w:t>
      </w:r>
    </w:p>
    <w:p>
      <w:r>
        <w:rPr>
          <w:rFonts w:ascii="Calibri" w:hAnsi="Calibri" w:cs="Calibri" w:eastAsia="Calibri"/>
          <w:i/>
          <w:color w:val="1A1A1A"/>
          <w:sz w:val="22"/>
        </w:rPr>
        <w:t>Note: Customer participant list captured during the Pre-Discovery Intake call before engagement begins.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3: Evidence Needed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Artifact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Format / Source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Required By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EV01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Observability &amp; SLA Policy / Strategy Doc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PDF / Confluence / Wiki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2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EV02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Service Catalogue / Tier-1 Application List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Spreadsheet / CMDB export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2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EV03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Telemetry Agent Config &amp; Coverage Report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YAML / Terraform / Screenshot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3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EV04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Incident Log (last 90 days)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JIRA / PagerDuty export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3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EV05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Alerting Runbooks &amp; Escalation Routing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Confluence / PDF / Markdown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4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EV06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SLO / Error Budget Dashboard Screenshots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Dashboard export / PNG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4</w:t>
            </w:r>
          </w:p>
        </w:tc>
      </w:tr>
    </w:tbl>
    <w:p/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EV07-EV13 are not required for the Rapid Diagnostic track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Evidence submitted asynchronously via agreed secure channel (email / SharePoint)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Incomplete evidence reduces scoring confidence - noted explicitly in the readout</w:t>
      </w:r>
    </w:p>
    <w:p>
      <w:r>
        <w:rPr>
          <w:rFonts w:ascii="Calibri" w:hAnsi="Calibri" w:cs="Calibri" w:eastAsia="Calibri"/>
          <w:i/>
          <w:color w:val="1A1A1A"/>
          <w:sz w:val="22"/>
        </w:rPr>
        <w:t>Note: Evidence gaps do not halt the engagement but will be recorded in the Scope &amp; Exclusions Charter and reflected in maturity score confidence levels.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4: Activities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Day(s)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Kick-off: confirm scope, participants, evidence list, charter sign-off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Lead + Customer SRE Lead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60-min video call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Days 2-5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Async evidence collection &amp; review (EV01-EV06)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Assessor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Async + 1x clarification call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6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O0-O3 maturity scoring workshop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Assessor + SRE Lead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90-min workshop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7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O4-O6 maturity scoring workshop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Assessor + SRE Lead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90-min workshop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Days 8-9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Gap analysis, illustrative value sizing, readout preparation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Assessor</w:t>
            </w:r>
          </w:p>
        </w:tc>
        <w:tc>
          <w:tcPr>
            <w:tcW w:type="dxa" w:w="2351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Internal - no customer presence</w:t>
            </w:r>
          </w:p>
        </w:tc>
      </w:tr>
      <w:tr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Day 10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Executive Readout delivery &amp; next-steps discussion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 Lead + Customer Exec</w:t>
            </w:r>
          </w:p>
        </w:tc>
        <w:tc>
          <w:tcPr>
            <w:tcW w:type="dxa" w:w="2351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60-90 min presentation</w:t>
            </w:r>
          </w:p>
        </w:tc>
      </w:tr>
    </w:tbl>
    <w:p/>
    <w:p>
      <w:r>
        <w:rPr>
          <w:rFonts w:ascii="Calibri" w:hAnsi="Calibri" w:cs="Calibri" w:eastAsia="Calibri"/>
          <w:i/>
          <w:color w:val="1A1A1A"/>
          <w:sz w:val="22"/>
        </w:rPr>
        <w:t>Note: Day count is working days. Public holidays and customer blackout dates extend the timeline by mutual agreement.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5: Outputs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Recipient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O0-O6 Maturity Heatmap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Colour-coded maturity score (1-5) for each of the 7 core dimensions on the Vithi evidence-based maturity scale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SRE Lead, Engineering Manager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Top 5 Priority Gaps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Ranked list of highest-risk observability gaps with supporting evidence references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Engineering Manager, CTO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Illustrative Value Opportunity Summary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Modelled opportunity sizing (MTTR reduction, alert noise reduction, SLO improvement). Figures are illustrative and baseline-dependent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Exec Sponsor, CTO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90-Day Quick-Win Roadmap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Prioritised 3-sprint action plan targeting O3-O6 quick wins; effort and complexity rated per action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Engineering Manager, SRE Lead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Engagement Options Summary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Side-by-side comparison of Rapid (Track A) vs. Full Assessment (Track B) for customer decision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BD, Exec Sponsor</w:t>
            </w:r>
          </w:p>
        </w:tc>
      </w:tr>
    </w:tbl>
    <w:p/>
    <w:p>
      <w:r>
        <w:rPr>
          <w:rFonts w:ascii="Calibri" w:hAnsi="Calibri" w:cs="Calibri" w:eastAsia="Calibri"/>
          <w:i/>
          <w:color w:val="1A1A1A"/>
          <w:sz w:val="22"/>
        </w:rPr>
        <w:t>Note: All value figures in the Illustrative Value Opportunity Summary are modelled estimates based on the customer's submitted evidence baseline. Actual outcomes depend on implementation quality and customer-specific conditions.</w:t>
      </w:r>
    </w:p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6: Exclusions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Excluded Item</w:t>
            </w:r>
          </w:p>
        </w:tc>
        <w:tc>
          <w:tcPr>
            <w:tcW w:type="dxa" w:w="4703"/>
            <w:shd w:val="clear" w:color="auto" w:fill="C00000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Reason / Where Covered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O7-O12 dimensions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Full Observability Assessment (Track B) only</w:t>
            </w:r>
          </w:p>
        </w:tc>
      </w:tr>
      <w:tr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Tool rationalization &amp; SaaS contract review</w:t>
            </w:r>
          </w:p>
        </w:tc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only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Data pipeline &amp; data product observability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only - O8, O9</w:t>
            </w:r>
          </w:p>
        </w:tc>
      </w:tr>
      <w:tr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AI / GenAI / LLM observability</w:t>
            </w:r>
          </w:p>
        </w:tc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only - O11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Multi-cloud estate beyond primary Tier-1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scope; limited to 1 domain in Track A</w:t>
            </w:r>
          </w:p>
        </w:tc>
      </w:tr>
      <w:tr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Legacy or on-premise workload assessment</w:t>
            </w:r>
          </w:p>
        </w:tc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Track B only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Implementation or remediation delivery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Separate delivery engagement - not part of diagnostic</w:t>
            </w:r>
          </w:p>
        </w:tc>
      </w:tr>
      <w:tr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Tool procurement or vendor negotiation</w:t>
            </w:r>
          </w:p>
        </w:tc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Out of scope for all assessment tracks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SLA guarantees on outcome targets</w:t>
            </w:r>
          </w:p>
        </w:tc>
        <w:tc>
          <w:tcPr>
            <w:tcW w:type="dxa" w:w="4703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All targets are illustrative and baseline-dependent</w:t>
            </w:r>
          </w:p>
        </w:tc>
      </w:tr>
      <w:tr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Ongoing managed service or support</w:t>
            </w:r>
          </w:p>
        </w:tc>
        <w:tc>
          <w:tcPr>
            <w:tcW w:type="dxa" w:w="4703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Separate managed service agreement required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Section 7: Expected Effort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Party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Activity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Estimated Effort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Evidence review, scoring, gap analysis, readout prep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~3 consultant-days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Kick-off facilitation &amp; readout delivery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~0.5 consultant-days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Vithi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~3.5 consultant-days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Customer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Evidence provision (async)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~3-4 hours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Customer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Workshops (2x scoring sessions)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~3 hours</w:t>
            </w:r>
          </w:p>
        </w:tc>
      </w:tr>
      <w:tr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Customer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Kick-off + Readout attendance</w:t>
            </w:r>
          </w:p>
        </w:tc>
        <w:tc>
          <w:tcPr>
            <w:tcW w:type="dxa" w:w="3135"/>
            <w:shd w:val="clear" w:color="auto" w:fill="EEF2F7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~2 hours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Customer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 w:cs="Calibri" w:eastAsia="Calibri"/>
                <w:color w:val="1A1A1A"/>
                <w:sz w:val="20"/>
              </w:rPr>
              <w:t>~6-8 hours across 2 weeks</w:t>
            </w:r>
          </w:p>
        </w:tc>
      </w:tr>
    </w:tbl>
    <w:p/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Pricing model: Fixed-price or T&amp;M - confirmed after Pre-Discovery Intake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Formal SOW issued after intake and scope agreement; no engagement starts without signed SOW</w:t>
      </w:r>
    </w:p>
    <w:p>
      <w:pPr>
        <w:pStyle w:val="ListBullet"/>
        <w:ind w:left="360"/>
      </w:pPr>
      <w:r>
        <w:rPr>
          <w:rFonts w:ascii="Calibri" w:hAnsi="Calibri" w:cs="Calibri" w:eastAsia="Calibri"/>
          <w:color w:val="1A1A1A"/>
          <w:sz w:val="22"/>
        </w:rPr>
        <w:t>For customers requiring broader coverage, refer to Full Observability Assessment (Track B, 4-Week)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rFonts w:ascii="Calibri" w:hAnsi="Calibri" w:cs="Calibri" w:eastAsia="Calibri"/>
          <w:i/>
          <w:color w:val="1A1A1A"/>
          <w:sz w:val="22"/>
        </w:rPr>
        <w:t>Vithi Consulting  |  Observability Practice  |  Pre-requisite: Vithi Observability BD Pre-Discovery Intake Form must be completed before engagement begins.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