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 w:cs="Calibri" w:eastAsia="Calibri"/>
          <w:b/>
          <w:color w:val="1A1A1A"/>
          <w:sz w:val="22"/>
        </w:rPr>
        <w:t>VITHI CONSULTING ASSESSMENT DIAGNOSTIC FRAMEWORK</w:t>
      </w:r>
    </w:p>
    <w:p>
      <w:pPr>
        <w:spacing w:before="0" w:after="40"/>
      </w:pPr>
      <w:r>
        <w:rPr>
          <w:rFonts w:ascii="Calibri" w:hAnsi="Calibri" w:cs="Calibri" w:eastAsia="Calibri"/>
          <w:b/>
          <w:color w:val="1A1A1A"/>
          <w:sz w:val="22"/>
        </w:rPr>
        <w:t>Observability Maturity Assessment Questionnaire</w:t>
      </w:r>
    </w:p>
    <w:p>
      <w:pPr>
        <w:spacing w:before="0" w:after="160"/>
      </w:pPr>
      <w:r>
        <w:rPr>
          <w:rFonts w:ascii="Calibri" w:hAnsi="Calibri" w:cs="Calibri" w:eastAsia="Calibri"/>
          <w:i/>
          <w:color w:val="1A1A1A"/>
          <w:sz w:val="22"/>
        </w:rPr>
        <w:t>Customer Discovery, Business Trigger Diagnostic, and Evidence-Based Scoring Across Service, Data Pipeline &amp; AI Estates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24" w:space="0" w:color="1E3A8A"/>
              <w:top w:val="none"/>
              <w:right w:val="none"/>
              <w:bottom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CONSULTATIVE ASSESSMENT METHODOLOGY</w:t>
              <w:br/>
            </w:r>
            <w:r>
              <w:rPr>
                <w:rFonts w:ascii="Calibri" w:hAnsi="Calibri" w:cs="Calibri" w:eastAsia="Calibri"/>
                <w:color w:val="1A1A1A"/>
                <w:sz w:val="20"/>
              </w:rPr>
              <w:t>PURPOSE &amp; ASSESSMENT DISCIPLINE: This questionnaire establishes an evidence-backed baseline across telemetry breadth, distributed tracing, alerting precision, SLO governance, data pipelines, and AI data flows. All numerical ratings (Level 1 to 5) must be corroborated by physical evidence artifacts (EV01–EV12). Unverified claims are tagged as 'Unknown' to maintain consulting credibility.</w:t>
            </w:r>
          </w:p>
        </w:tc>
      </w:tr>
    </w:tbl>
    <w:p>
      <w:pPr>
        <w:spacing w:after="60"/>
      </w:pPr>
    </w:p>
    <w:p>
      <w:pPr>
        <w:keepNext/>
        <w:spacing w:before="280" w:after="80"/>
      </w:pPr>
      <w:r>
        <w:rPr>
          <w:rFonts w:ascii="Calibri" w:hAnsi="Calibri" w:cs="Calibri" w:eastAsia="Calibri"/>
          <w:b/>
          <w:color w:val="1A1A1A"/>
          <w:sz w:val="22"/>
        </w:rPr>
        <w:t>Part 0: Front-End Business Trigger &amp; Executive Context</w:t>
      </w:r>
    </w:p>
    <w:p>
      <w:pPr>
        <w:spacing w:before="0" w:after="60" w:line="276" w:lineRule="auto"/>
      </w:pPr>
      <w:r>
        <w:rPr>
          <w:rFonts w:ascii="Calibri" w:hAnsi="Calibri" w:cs="Calibri" w:eastAsia="Calibri"/>
          <w:color w:val="1A1A1A"/>
          <w:sz w:val="22"/>
        </w:rPr>
        <w:t>Before assessing technical telemetry, the assessor must capture the business catalysts, critical assets, failure blast radius, executive sponsors, and intended decisions that justify this engagement: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484"/>
        <w:gridCol w:w="2484"/>
        <w:gridCol w:w="2484"/>
        <w:gridCol w:w="2484"/>
      </w:tblGrid>
      <w:tr>
        <w:trPr>
          <w:tblHeader/>
          <w:cantSplit/>
        </w:trPr>
        <w:tc>
          <w:tcPr>
            <w:tcW w:type="dxa" w:w="2484"/>
            <w:shd w:fill="33415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Trigger ID</w:t>
            </w:r>
          </w:p>
        </w:tc>
        <w:tc>
          <w:tcPr>
            <w:tcW w:type="dxa" w:w="2484"/>
            <w:shd w:fill="33415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Strategic Context Parameter</w:t>
            </w:r>
          </w:p>
        </w:tc>
        <w:tc>
          <w:tcPr>
            <w:tcW w:type="dxa" w:w="2484"/>
            <w:shd w:fill="33415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Diagnostic Discovery Question</w:t>
            </w:r>
          </w:p>
        </w:tc>
        <w:tc>
          <w:tcPr>
            <w:tcW w:type="dxa" w:w="2484"/>
            <w:shd w:fill="33415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Customer Response &amp; Notes</w:t>
            </w:r>
          </w:p>
        </w:tc>
      </w:tr>
      <w:tr>
        <w:trPr>
          <w:cantSplit/>
        </w:trPr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BT-01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Review Catalyst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What specific incident, major outage, customer escalation, SLA breach, regulatory audit request, or unbudgeted tool cost spike triggered this review?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[e.g., Sev-1 payment checkout timeout (38m downtime); 42% Datadog cost spike; on-call engineer burnout]</w:t>
            </w:r>
          </w:p>
        </w:tc>
      </w:tr>
      <w:tr>
        <w:trPr>
          <w:cantSplit/>
        </w:trPr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BT-02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Business-Critical Assets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Which specific services, digital products, data pipelines, customer journeys, or executive BI dashboards cause immediate financial or brand damage if degraded?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[e.g., Core Payment API, Fraud Detection Kafka Streaming, Wealth Management Daily P&amp;L Looker Report]</w:t>
            </w:r>
          </w:p>
        </w:tc>
      </w:tr>
      <w:tr>
        <w:trPr>
          <w:cantSplit/>
        </w:trPr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BT-03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Failure Blast Radius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What tangible business consequence occurs when observability fails? (Direct transaction drops, customer checkout disruption, regulatory exposure, customer churn, developer attrition)?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[e.g., 4,200 failed customer checkouts during peak outage; 4-hour delay in executive trading desk risk reporting]</w:t>
            </w:r>
          </w:p>
        </w:tc>
      </w:tr>
      <w:tr>
        <w:trPr>
          <w:cantSplit/>
        </w:trPr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BT-04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Executive Sponsorship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Who is the primary executive sponsor and co-sponsor championing this assessment (CIO, CTO, CDO, Head of SRE/Engineering, Head of Data, Business COO)?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[e.g., VP of Site Reliability &amp; Cloud Ops (Sponsor); Head of Enterprise Data Architecture (Co-Sponsor)]</w:t>
            </w:r>
          </w:p>
        </w:tc>
      </w:tr>
      <w:tr>
        <w:trPr>
          <w:cantSplit/>
        </w:trPr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BT-05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Target Strategic Decision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What specific decision must this assessment support: tool consolidation/rationalization, SRE error budget rollout, 30-day alert reset, MTTR reduction, or managed services?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[e.g., Authorize 30-day alert noise reset; consolidate duplicate Splunk/CloudWatch logging; enforce Tier-1 SLOs]</w:t>
            </w:r>
          </w:p>
        </w:tc>
      </w:tr>
      <w:tr>
        <w:trPr>
          <w:cantSplit/>
        </w:trPr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BT-06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Tool Ingestion &amp; Engineering Overhead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What is the total operational footprint of observability tools (Datadog, Splunk, CloudWatch, Dynatrace, New Relic), and is there an executive mandate to reduce engineering toil and alert noise?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[e.g., Sprawling multi-tool stack generating 32,000 alerts/month; executive mandate to cut engineering triage effort and noise by ≥50%]</w:t>
            </w:r>
          </w:p>
        </w:tc>
      </w:tr>
    </w:tbl>
    <w:p>
      <w:pPr>
        <w:spacing w:after="80"/>
      </w:pPr>
    </w:p>
    <w:p>
      <w:pPr/>
      <w:r>
        <w:rPr>
          <w:rFonts w:ascii="Calibri" w:hAnsi="Calibri" w:cs="Calibri" w:eastAsia="Calibri"/>
          <w:b/>
          <w:color w:val="1A1A1A"/>
          <w:sz w:val="22"/>
        </w:rPr>
        <w:t>Canonical O0–O12 Observability Dimension Reference (applies to all scoring, evidence, and readout documents):</w:t>
      </w:r>
    </w:p>
    <w:p>
      <w:pPr/>
      <w:r>
        <w:rPr>
          <w:rFonts w:ascii="Calibri" w:hAnsi="Calibri" w:cs="Calibri" w:eastAsia="Calibri"/>
          <w:color w:val="1A1A1A"/>
          <w:sz w:val="22"/>
        </w:rPr>
        <w:t xml:space="preserve">  O0  |  Observability Strategy, Ownership &amp; Governance  |  [Core / Mandatory]</w:t>
      </w:r>
    </w:p>
    <w:p>
      <w:pPr/>
      <w:r>
        <w:rPr>
          <w:rFonts w:ascii="Calibri" w:hAnsi="Calibri" w:cs="Calibri" w:eastAsia="Calibri"/>
          <w:color w:val="1A1A1A"/>
          <w:sz w:val="22"/>
        </w:rPr>
        <w:t xml:space="preserve">  O1  |  Telemetry Ingestion, Coverage &amp; Standards  |  [Core / Mandatory]</w:t>
      </w:r>
    </w:p>
    <w:p>
      <w:pPr/>
      <w:r>
        <w:rPr>
          <w:rFonts w:ascii="Calibri" w:hAnsi="Calibri" w:cs="Calibri" w:eastAsia="Calibri"/>
          <w:color w:val="1A1A1A"/>
          <w:sz w:val="22"/>
        </w:rPr>
        <w:t xml:space="preserve">  O2  |  Correlation, Distributed Tracing &amp; Dependency Visibility  |  [Core / Mandatory]</w:t>
      </w:r>
    </w:p>
    <w:p>
      <w:pPr/>
      <w:r>
        <w:rPr>
          <w:rFonts w:ascii="Calibri" w:hAnsi="Calibri" w:cs="Calibri" w:eastAsia="Calibri"/>
          <w:color w:val="1A1A1A"/>
          <w:sz w:val="22"/>
        </w:rPr>
        <w:t xml:space="preserve">  O3  |  Alert Quality, Signal-to-Noise &amp; Owner Routing  |  [Core / Mandatory]</w:t>
      </w:r>
    </w:p>
    <w:p>
      <w:pPr/>
      <w:r>
        <w:rPr>
          <w:rFonts w:ascii="Calibri" w:hAnsi="Calibri" w:cs="Calibri" w:eastAsia="Calibri"/>
          <w:color w:val="1A1A1A"/>
          <w:sz w:val="22"/>
        </w:rPr>
        <w:t xml:space="preserve">  O4  |  SLI, SLO &amp; Error Budget Governance  |  [Core / Mandatory]</w:t>
      </w:r>
    </w:p>
    <w:p>
      <w:pPr/>
      <w:r>
        <w:rPr>
          <w:rFonts w:ascii="Calibri" w:hAnsi="Calibri" w:cs="Calibri" w:eastAsia="Calibri"/>
          <w:color w:val="1A1A1A"/>
          <w:sz w:val="22"/>
        </w:rPr>
        <w:t xml:space="preserve">  O5  |  Dashboards, Runbooks &amp; Operational Readiness  |  [Core / Mandatory]</w:t>
      </w:r>
    </w:p>
    <w:p>
      <w:pPr/>
      <w:r>
        <w:rPr>
          <w:rFonts w:ascii="Calibri" w:hAnsi="Calibri" w:cs="Calibri" w:eastAsia="Calibri"/>
          <w:color w:val="1A1A1A"/>
          <w:sz w:val="22"/>
        </w:rPr>
        <w:t xml:space="preserve">  O6  |  Incident Response, MTTR &amp; Continuous RCA  |  [Core / Mandatory]</w:t>
      </w:r>
    </w:p>
    <w:p>
      <w:pPr/>
      <w:r>
        <w:rPr>
          <w:rFonts w:ascii="Calibri" w:hAnsi="Calibri" w:cs="Calibri" w:eastAsia="Calibri"/>
          <w:color w:val="1A1A1A"/>
          <w:sz w:val="22"/>
        </w:rPr>
        <w:t xml:space="preserve">  O7  |  Logging Cost, Retention &amp; Audit Governance  |  [Core / Mandatory]</w:t>
      </w:r>
    </w:p>
    <w:p>
      <w:pPr/>
      <w:r>
        <w:rPr>
          <w:rFonts w:ascii="Calibri" w:hAnsi="Calibri" w:cs="Calibri" w:eastAsia="Calibri"/>
          <w:color w:val="1A1A1A"/>
          <w:sz w:val="22"/>
        </w:rPr>
        <w:t xml:space="preserve">  O8  |  Data Pipeline Observability (Execution &amp; Reliability)  |  [Extension / High Value]</w:t>
      </w:r>
    </w:p>
    <w:p>
      <w:pPr/>
      <w:r>
        <w:rPr>
          <w:rFonts w:ascii="Calibri" w:hAnsi="Calibri" w:cs="Calibri" w:eastAsia="Calibri"/>
          <w:color w:val="1A1A1A"/>
          <w:sz w:val="22"/>
        </w:rPr>
        <w:t xml:space="preserve">  O9  |  Data Product &amp; Business Dashboard Observability  |  [Extension / High Value]</w:t>
      </w:r>
    </w:p>
    <w:p>
      <w:pPr/>
      <w:r>
        <w:rPr>
          <w:rFonts w:ascii="Calibri" w:hAnsi="Calibri" w:cs="Calibri" w:eastAsia="Calibri"/>
          <w:color w:val="1A1A1A"/>
          <w:sz w:val="22"/>
        </w:rPr>
        <w:t xml:space="preserve">  O10  |  Tool Architecture, Rationalization &amp; Lock-in Governance  |  [Extension / High Value]</w:t>
      </w:r>
    </w:p>
    <w:p>
      <w:pPr/>
      <w:r>
        <w:rPr>
          <w:rFonts w:ascii="Calibri" w:hAnsi="Calibri" w:cs="Calibri" w:eastAsia="Calibri"/>
          <w:color w:val="1A1A1A"/>
          <w:sz w:val="22"/>
        </w:rPr>
        <w:t xml:space="preserve">  O11  |  AI / GenAI &amp; LLM Observability Extension  |  [Modular / Optional]</w:t>
      </w:r>
    </w:p>
    <w:p>
      <w:pPr/>
      <w:r>
        <w:rPr>
          <w:rFonts w:ascii="Calibri" w:hAnsi="Calibri" w:cs="Calibri" w:eastAsia="Calibri"/>
          <w:color w:val="1A1A1A"/>
          <w:sz w:val="22"/>
        </w:rPr>
        <w:t xml:space="preserve">  O12  |  Carbon &amp; Sustainability Observability  |  [Reserved / Modular]</w:t>
      </w:r>
    </w:p>
    <w:p>
      <w:pPr>
        <w:keepNext/>
        <w:spacing w:before="280" w:after="80"/>
      </w:pPr>
      <w:r>
        <w:rPr>
          <w:rFonts w:ascii="Calibri" w:hAnsi="Calibri" w:cs="Calibri" w:eastAsia="Calibri"/>
          <w:i/>
          <w:color w:val="1A1A1A"/>
          <w:sz w:val="22"/>
        </w:rPr>
        <w:t>ENGAGEMENT SEQUENCE NOTICE: This comprehensive 13-dimension maturity questionnaire is Phase 2 of the assessment. It is completed with engineering squads only after customer interest and track selection (Rapid 2-Week vs. Full 4-Week) are established via the 1-Page BD Pre-Discovery Form.</w:t>
      </w:r>
    </w:p>
    <w:p>
      <w:pPr>
        <w:spacing w:before="0" w:after="60" w:line="276" w:lineRule="auto"/>
      </w:pPr>
      <w:r>
        <w:rPr>
          <w:rFonts w:ascii="Calibri" w:hAnsi="Calibri" w:cs="Calibri" w:eastAsia="Calibri"/>
          <w:color w:val="1A1A1A"/>
          <w:sz w:val="22"/>
        </w:rPr>
        <w:t>Diagnostic questions scored on a 1.0 to 5.0 scale, supported by audited physical evidence:</w:t>
      </w:r>
    </w:p>
    <w:p>
      <w:pPr>
        <w:keepNext/>
        <w:spacing w:before="200" w:after="60"/>
      </w:pPr>
      <w:r>
        <w:rPr>
          <w:rFonts w:ascii="Calibri" w:hAnsi="Calibri" w:cs="Calibri" w:eastAsia="Calibri"/>
          <w:b/>
          <w:color w:val="1A1A1A"/>
          <w:sz w:val="22"/>
        </w:rPr>
        <w:t>O0 — Observability Strategy, Ownership &amp; Governance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tblHeader/>
          <w:cantSplit/>
        </w:trPr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Q-ID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Diagnostic Question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Response Scale / Measure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Required Evidence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Customer Baseline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Assessor Score (1-5)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0.1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What percentage of Tier-1 services have a named technical owner and active on-call rotation?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% Coverage (0-100%)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EV01, EV05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65% mapped; 35% unmaintained in wiki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2.5</w:t>
            </w:r>
          </w:p>
        </w:tc>
      </w:tr>
      <w:tr>
        <w:trPr>
          <w:cantSplit/>
        </w:trPr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0.2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Is observability reviewed as an automated release gate in CI/CD before a service goes to production?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Practice Maturity (1-5)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EV01, EV03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Manual ad-hoc check; no CI/CD gate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1.5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0.3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Is there an agreed telemetry standard (e.g. OpenTelemetry semantic conventions) adopted across all squads?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Practice Maturity (1-5)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EV02, EV03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JSON logging standard adopted in 60% repos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2.0</w:t>
            </w:r>
          </w:p>
        </w:tc>
      </w:tr>
      <w:tr>
        <w:trPr>
          <w:cantSplit/>
        </w:trPr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0.4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Are monthly observability costs, license usage, and data ingestion tracked and reviewed with leadership?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Practice Maturity (1-5)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EV11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Central IT bill; zero squad showback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2.0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Calibri" w:hAnsi="Calibri" w:cs="Calibri" w:eastAsia="Calibri"/>
          <w:b/>
          <w:color w:val="1A1A1A"/>
          <w:sz w:val="22"/>
        </w:rPr>
        <w:t>O1 — Telemetry Ingestion, Coverage &amp; Standards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tblHeader/>
          <w:cantSplit/>
        </w:trPr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Q-ID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Diagnostic Question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Response Scale / Measure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Required Evidence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Customer Baseline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Assessor Score (1-5)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1.1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What percentage of Tier-1 services emit standardized logs, metrics, and traces?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% Coverage (0-100%)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EV03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85% host/EKS metrics; serverless missing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2.5</w:t>
            </w:r>
          </w:p>
        </w:tc>
      </w:tr>
      <w:tr>
        <w:trPr>
          <w:cantSplit/>
        </w:trPr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1.2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What percentage of Tier-1 services expose customer-impacting Golden Signals, not only CPU and RAM?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% Coverage (0-100%)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EV03, EV07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45% have latency/error signals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2.5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1.3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What percentage of serverless, batch, and third-party API dependencies have telemetry coverage?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% Coverage (0-100%)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EV03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Serverless unmonitored; API timeouts blind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1.5</w:t>
            </w:r>
          </w:p>
        </w:tc>
      </w:tr>
      <w:tr>
        <w:trPr>
          <w:cantSplit/>
        </w:trPr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1.4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Are synthetic transactions running 24/7 to validate external user checkout and login journeys?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Practice Maturity (1-5)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EV07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3 basic HTTP pings; no multi-step scripts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1.5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Calibri" w:hAnsi="Calibri" w:cs="Calibri" w:eastAsia="Calibri"/>
          <w:b/>
          <w:color w:val="1A1A1A"/>
          <w:sz w:val="22"/>
        </w:rPr>
        <w:t>O2 — Correlation, Distributed Tracing &amp; Dependency Visibility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tblHeader/>
          <w:cantSplit/>
        </w:trPr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Q-ID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Diagnostic Question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Response Scale / Measure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Required Evidence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Customer Baseline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Assessor Score (1-5)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2.1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Can an engineer trace a single customer transaction end-to-end across all microservice hops?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Practice Maturity (1-5)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EV03, EV08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Traces break at Kafka message broker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1.5</w:t>
            </w:r>
          </w:p>
        </w:tc>
      </w:tr>
      <w:tr>
        <w:trPr>
          <w:cantSplit/>
        </w:trPr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2.2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Are correlation IDs (traceId, spanId) injected into 100% of application log outputs?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% Coverage (0-100%)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EV03, EV04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45% Java services inject traceId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2.0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2.3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Is there an automated, real-time service dependency map showing active bottlenecks and error rates?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Practice Maturity (1-5)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EV02, EV07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Static Datadog map; lacks Kafka workers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2.5</w:t>
            </w:r>
          </w:p>
        </w:tc>
      </w:tr>
      <w:tr>
        <w:trPr>
          <w:cantSplit/>
        </w:trPr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2.4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Is trace sampling managed dynamically (tail-based) to capture 100% of errors without bill shock?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Practice Maturity (1-5)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EV03, EV11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Fixed random 10% head sampling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1.5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Calibri" w:hAnsi="Calibri" w:cs="Calibri" w:eastAsia="Calibri"/>
          <w:b/>
          <w:color w:val="1A1A1A"/>
          <w:sz w:val="22"/>
        </w:rPr>
        <w:t>O3 — Alert Quality, Signal-to-Noise &amp; Owner Routing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tblHeader/>
          <w:cantSplit/>
        </w:trPr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Q-ID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Diagnostic Question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Response Scale / Measure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Required Evidence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Customer Baseline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Assessor Score (1-5)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3.1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What percentage of alerts delivered to on-call engineers are actionable and require human intervention?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% Actionable (0-100%)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EV04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39% actionable (61% false alarms/noise)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1.5</w:t>
            </w:r>
          </w:p>
        </w:tc>
      </w:tr>
      <w:tr>
        <w:trPr>
          <w:cantSplit/>
        </w:trPr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3.2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What percentage of critical alerts include a direct link to an active, verified operational runbook URL?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% Coverage (0-100%)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EV05, EV08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Only 12% alerts provide runbook URLs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1.5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3.3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Are alert thresholds dynamically tuned using anomaly detection rather than static CPU/memory thresholds?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Practice Maturity (1-5)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EV04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Static 80% CPU triggers nightly in backups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1.5</w:t>
            </w:r>
          </w:p>
        </w:tc>
      </w:tr>
      <w:tr>
        <w:trPr>
          <w:cantSplit/>
        </w:trPr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3.4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Are cascading alert storms automatically grouped and de-duplicated during a major outage?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Practice Maturity (1-5)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EV04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Single DB failure paged 6 squads (420 alerts)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2.0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Calibri" w:hAnsi="Calibri" w:cs="Calibri" w:eastAsia="Calibri"/>
          <w:b/>
          <w:color w:val="1A1A1A"/>
          <w:sz w:val="22"/>
        </w:rPr>
        <w:t>O4 — SLI, SLO &amp; Error Budget Governance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tblHeader/>
          <w:cantSplit/>
        </w:trPr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Q-ID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Diagnostic Question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Response Scale / Measure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Required Evidence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Customer Baseline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Assessor Score (1-5)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4.1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Are Service Level Objectives (SLOs) defined and published for all customer-facing Tier-1 services?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% Coverage (0-100%)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EV06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No formal SLO register; uptime only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1.5</w:t>
            </w:r>
          </w:p>
        </w:tc>
      </w:tr>
      <w:tr>
        <w:trPr>
          <w:cantSplit/>
        </w:trPr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4.2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Are multi-window multi-burn-rate alerts (e.g. 14.4x 1-hour, 6x 6-hour) deployed instead of static alerts?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Practice Maturity (1-5)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EV06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Zero burn-rate alerting in place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1.0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4.3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Is there an executive-backed Error Budget Policy governing release freezes when budgets are exhausted?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Practice Maturity (1-5)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EV06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Product squads push code regardless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1.0</w:t>
            </w:r>
          </w:p>
        </w:tc>
      </w:tr>
      <w:tr>
        <w:trPr>
          <w:cantSplit/>
        </w:trPr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4.4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Are monthly SLO compliance and reliability burn-down reports shared with executive leadership?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Practice Maturity (1-5)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EV06, EV07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Conflicting uptime numbers reported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1.5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Calibri" w:hAnsi="Calibri" w:cs="Calibri" w:eastAsia="Calibri"/>
          <w:b/>
          <w:color w:val="1A1A1A"/>
          <w:sz w:val="22"/>
        </w:rPr>
        <w:t>O5 — Dashboards, Runbooks &amp; Operational Readiness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tblHeader/>
          <w:cantSplit/>
        </w:trPr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Q-ID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Diagnostic Question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Response Scale / Measure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Required Evidence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Customer Baseline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Assessor Score (1-5)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5.1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Do Tier-1 services have standardized Golden Signal dashboards (Latency, Traffic, Errors, Saturation)?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Practice Maturity (1-5)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EV07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58 disparate dashboards; high clutter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2.5</w:t>
            </w:r>
          </w:p>
        </w:tc>
      </w:tr>
      <w:tr>
        <w:trPr>
          <w:cantSplit/>
        </w:trPr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5.2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Is dashboard sprawl actively governed and unmaintained/unused dashboards archived regularly?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Practice Maturity (1-5)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EV07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65% of dashboards unviewed in &gt;90 days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1.5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5.3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Can engineers navigate from a dashboard graph to corresponding trace spans and logs in 1 click?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Practice Maturity (1-5)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EV07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Manual copy-pasting of timestamps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2.0</w:t>
            </w:r>
          </w:p>
        </w:tc>
      </w:tr>
      <w:tr>
        <w:trPr>
          <w:cantSplit/>
        </w:trPr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5.4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Are real-time business transaction throughput volumes displayed alongside infrastructure health?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Practice Maturity (1-5)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EV07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Infra metrics only; zero business throughput data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2.0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Calibri" w:hAnsi="Calibri" w:cs="Calibri" w:eastAsia="Calibri"/>
          <w:b/>
          <w:color w:val="1A1A1A"/>
          <w:sz w:val="22"/>
        </w:rPr>
        <w:t>O6 — Incident Response, MTTR &amp; Continuous RCA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tblHeader/>
          <w:cantSplit/>
        </w:trPr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Q-ID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Diagnostic Question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Response Scale / Measure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Required Evidence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Customer Baseline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Assessor Score (1-5)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6.1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What is the historical Mean Time to Acknowledge (MTTA) and Mean Time to Resolve (MTTR) for Sev-1/2s?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MTTR Minutes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EV04, EV08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MTTA = 4 mins; MTTR = 165 minutes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2.5</w:t>
            </w:r>
          </w:p>
        </w:tc>
      </w:tr>
      <w:tr>
        <w:trPr>
          <w:cantSplit/>
        </w:trPr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6.2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Are blameless Post-Incident Reviews (PIR) conducted within 72 hours and tracked to completion in Jira?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Practice Maturity (1-5)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EV08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PIRs held irregularly; tickets open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2.5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6.3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Do past post-mortem remediation action items prevent identical failures from recurring in production?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Practice Maturity (1-5)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EV08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3 identical DB connection pool outages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2.0</w:t>
            </w:r>
          </w:p>
        </w:tc>
      </w:tr>
      <w:tr>
        <w:trPr>
          <w:cantSplit/>
        </w:trPr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6.4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Are customer status pages automated directly from incident triggers to manage stakeholder comms?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Practice Maturity (1-5)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EV08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Support inundated with calls before notice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2.0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Calibri" w:hAnsi="Calibri" w:cs="Calibri" w:eastAsia="Calibri"/>
          <w:b/>
          <w:color w:val="1A1A1A"/>
          <w:sz w:val="22"/>
        </w:rPr>
        <w:t>O7 — Logging Cost, Retention &amp; Audit Governance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tblHeader/>
          <w:cantSplit/>
        </w:trPr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Q-ID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Diagnostic Question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Response Scale / Measure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Required Evidence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Customer Baseline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Assessor Score (1-5)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7.1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Are log retention policies tiered based on operational vs audit compliance value (Hot, Warm, Glacier)?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Practice Maturity (1-5)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EV03, EV11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All logs retained 365d in hot tier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1.5</w:t>
            </w:r>
          </w:p>
        </w:tc>
      </w:tr>
      <w:tr>
        <w:trPr>
          <w:cantSplit/>
        </w:trPr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7.2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Are high-volume debug logs filtered or sampled at the container edge before cloud ingestion?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Practice Maturity (1-5)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EV03, EV11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Debug logs active in prod (38% volume)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1.5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7.3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Are PII, credentials, and credit card numbers automatically masked or tokenized before log ingestion?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Practice Maturity (1-5)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EV03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Basic regex masking; edge cases leak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2.5</w:t>
            </w:r>
          </w:p>
        </w:tc>
      </w:tr>
      <w:tr>
        <w:trPr>
          <w:cantSplit/>
        </w:trPr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7.4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Is there automated chargeback/showback for observability SaaS and cloud ingestion spend by squad?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Practice Maturity (1-5)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EV11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Central IT pays entire vendor bill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1.0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Calibri" w:hAnsi="Calibri" w:cs="Calibri" w:eastAsia="Calibri"/>
          <w:b/>
          <w:color w:val="1A1A1A"/>
          <w:sz w:val="22"/>
        </w:rPr>
        <w:t>Part 2: Data Pipeline, Data Product &amp; AI-Flow Observability — O8 to O12 (The Differentiator)</w:t>
      </w:r>
    </w:p>
    <w:p>
      <w:pPr>
        <w:spacing w:before="0" w:after="60" w:line="276" w:lineRule="auto"/>
      </w:pPr>
      <w:r>
        <w:rPr>
          <w:rFonts w:ascii="Calibri" w:hAnsi="Calibri" w:cs="Calibri" w:eastAsia="Calibri"/>
          <w:color w:val="1A1A1A"/>
          <w:sz w:val="22"/>
        </w:rPr>
        <w:t>This section prevents the assessment from being pulled into generic APM competition by evaluating data pipelines, data products, executive dashboards, and generative AI flows:</w:t>
      </w:r>
    </w:p>
    <w:p>
      <w:pPr>
        <w:keepNext/>
        <w:spacing w:before="200" w:after="60"/>
      </w:pPr>
      <w:r>
        <w:rPr>
          <w:rFonts w:ascii="Calibri" w:hAnsi="Calibri" w:cs="Calibri" w:eastAsia="Calibri"/>
          <w:b/>
          <w:color w:val="1A1A1A"/>
          <w:sz w:val="22"/>
        </w:rPr>
        <w:t>O8 — Data Pipeline Observability (Execution &amp; Reliability)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tblHeader/>
          <w:cantSplit/>
        </w:trPr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Q-ID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Diagnostic Question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Response Scale / Measure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Required Evidence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Customer Baseline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Assessor Score (1-5)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8.1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Are critical ETL/ELT batch pipelines (Airflow, Glue, Spark) monitored for execution duration variance?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% Coverage (0-100%)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EV09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Airflow alerts on total failure only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2.0</w:t>
            </w:r>
          </w:p>
        </w:tc>
      </w:tr>
      <w:tr>
        <w:trPr>
          <w:cantSplit/>
        </w:trPr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8.2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Are automated SLA miss callbacks triggered when a daily batch pipeline exceeds its allowable runtime window?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Practice Maturity (1-5)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EV09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Silent 3-hour job delays go unnoticed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1.5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8.3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Is streaming consumer lag on Kafka / Kinesis queues monitored with alerts before backpressure occurs?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Practice Maturity (1-5)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EV09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Kafka lag untracked until memory crash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1.5</w:t>
            </w:r>
          </w:p>
        </w:tc>
      </w:tr>
      <w:tr>
        <w:trPr>
          <w:cantSplit/>
        </w:trPr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8.4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Can data engineers trace an Airflow task failure to the underlying Spark executor log in 1 click?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Practice Maturity (1-5)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EV09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Manual SSH to cluster nodes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1.5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Calibri" w:hAnsi="Calibri" w:cs="Calibri" w:eastAsia="Calibri"/>
          <w:b/>
          <w:color w:val="1A1A1A"/>
          <w:sz w:val="22"/>
        </w:rPr>
        <w:t>O9 — Data Product &amp; Business Dashboard Observability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tblHeader/>
          <w:cantSplit/>
        </w:trPr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Q-ID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Diagnostic Question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Response Scale / Measure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Required Evidence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Customer Baseline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Assessor Score (1-5)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9.1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Are automated freshness timestamp checks running to detect stale data in gold/reporting tables?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Practice Maturity (1-5)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EV10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Stale reports discovered by users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1.5</w:t>
            </w:r>
          </w:p>
        </w:tc>
      </w:tr>
      <w:tr>
        <w:trPr>
          <w:cantSplit/>
        </w:trPr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9.2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Are volume anomaly monitors active to alert on unexpected row-count drops (e.g. 40% ingestion drops)?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Practice Maturity (1-5)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EV10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Zero volume anomaly alerts active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1.0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9.3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Is schema validation automated to block unannounced column drops, type mutations, or renaming?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Practice Maturity (1-5)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EV10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Upstream DB schema change broke BI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1.0</w:t>
            </w:r>
          </w:p>
        </w:tc>
      </w:tr>
      <w:tr>
        <w:trPr>
          <w:cantSplit/>
        </w:trPr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9.4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Are automated data quality tests (null rates, uniqueness, range checks) executed at the ingestion boundary?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Practice Maturity (1-5)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EV10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Manual SQL checks conducted ad-hoc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1.5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Calibri" w:hAnsi="Calibri" w:cs="Calibri" w:eastAsia="Calibri"/>
          <w:b/>
          <w:color w:val="1A1A1A"/>
          <w:sz w:val="22"/>
        </w:rPr>
        <w:t>O9 (Extension) — Executive Business Dashboard &amp; Data Consumer Observability</w:t>
      </w:r>
    </w:p>
    <w:p>
      <w:pPr/>
      <w:r>
        <w:rPr>
          <w:rFonts w:ascii="Calibri" w:hAnsi="Calibri" w:cs="Calibri" w:eastAsia="Calibri"/>
          <w:i/>
          <w:color w:val="1A1A1A"/>
          <w:sz w:val="22"/>
        </w:rPr>
        <w:t>NOTE: Questions 10.1–10.4 below cover Executive BI Dashboard observability. These contribute to O9 (Data Product &amp; Business Dashboard Observability) in the Maturity Scorecard.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tblHeader/>
          <w:cantSplit/>
        </w:trPr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Q-ID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Diagnostic Question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Response Scale / Measure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Required Evidence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Customer Baseline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Assessor Score (1-5)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10.1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Are executive BI dashboards (Looker, Tableau, PowerBI) monitored for query performance degradation?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Practice Maturity (1-5)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EV07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Complaints received when load &gt;30s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1.5</w:t>
            </w:r>
          </w:p>
        </w:tc>
      </w:tr>
      <w:tr>
        <w:trPr>
          <w:cantSplit/>
        </w:trPr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10.2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Are automated warning banners displayed on executive dashboards when upstream data pipelines are delayed?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Practice Maturity (1-5)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EV07, EV10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Executives view stale data unknowingly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1.0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10.3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Is end-to-end data lineage documented from the source transactional table to the final BI metric?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Practice Maturity (1-5)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EV09, EV10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Static wiki diagrams unmaintained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1.5</w:t>
            </w:r>
          </w:p>
        </w:tc>
      </w:tr>
      <w:tr>
        <w:trPr>
          <w:cantSplit/>
        </w:trPr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10.4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Are downstream business consumers proactively notified before planned pipeline maintenance or delays?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Practice Maturity (1-5)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EV08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Notification sent only after complaints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1.5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Calibri" w:hAnsi="Calibri" w:cs="Calibri" w:eastAsia="Calibri"/>
          <w:b/>
          <w:color w:val="1A1A1A"/>
          <w:sz w:val="22"/>
        </w:rPr>
        <w:t>O10 — Tool Architecture, Rationalization &amp; Lock-in Governance</w:t>
      </w:r>
    </w:p>
    <w:p>
      <w:pPr/>
      <w:r>
        <w:rPr>
          <w:rFonts w:ascii="Calibri" w:hAnsi="Calibri" w:cs="Calibri" w:eastAsia="Calibri"/>
          <w:i/>
          <w:color w:val="1A1A1A"/>
          <w:sz w:val="22"/>
        </w:rPr>
        <w:t>(Q-IDs: 11.1 to 11.4 — scored as O10 in the Maturity Scorecard)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tblHeader/>
          <w:cantSplit/>
        </w:trPr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Q-ID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Diagnostic Question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Response Scale / Measure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Required Evidence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Customer Baseline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Assessor Score (1-5)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11.1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Is the observability architecture built on open standards (OpenTelemetry) to avoid vendor lock-in?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Practice Maturity (1-5)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EV02, EV03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Heavy lock-in to proprietary agents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2.0</w:t>
            </w:r>
          </w:p>
        </w:tc>
      </w:tr>
      <w:tr>
        <w:trPr>
          <w:cantSplit/>
        </w:trPr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11.2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Are duplicate monitoring and log aggregation licenses identified for decommissioning (e.g. Splunk vs Datadog)?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Practice Maturity (1-5)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EV03, EV11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Triple-logging across 3 separate tools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1.5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11.3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Are cross-region cloud telemetry data egress volumes actively monitored and optimized via local collectors?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Practice Maturity (1-5)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EV11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Unbudgeted egress volume spikes due to uncompressed logs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2.0</w:t>
            </w:r>
          </w:p>
        </w:tc>
      </w:tr>
      <w:tr>
        <w:trPr>
          <w:cantSplit/>
        </w:trPr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11.4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Is there a single pane of glass correlating infrastructure metrics, application traces, and data pipeline health?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Practice Maturity (1-5)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EV02, EV07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Teams maintain separate dashboards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1.5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Calibri" w:hAnsi="Calibri" w:cs="Calibri" w:eastAsia="Calibri"/>
          <w:b/>
          <w:color w:val="1A1A1A"/>
          <w:sz w:val="22"/>
        </w:rPr>
        <w:t>O11 — AI / GenAI &amp; LLM Observability Extension (Modular)</w:t>
      </w:r>
    </w:p>
    <w:p>
      <w:pPr/>
      <w:r>
        <w:rPr>
          <w:rFonts w:ascii="Calibri" w:hAnsi="Calibri" w:cs="Calibri" w:eastAsia="Calibri"/>
          <w:i/>
          <w:color w:val="1A1A1A"/>
          <w:sz w:val="22"/>
        </w:rPr>
        <w:t>(Q-IDs: 12.1 to 12.4 — scored as O11 in the Maturity Scorecard)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tblHeader/>
          <w:cantSplit/>
        </w:trPr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Q-ID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Diagnostic Question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Response Scale / Measure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Required Evidence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Customer Baseline</w:t>
            </w:r>
          </w:p>
        </w:tc>
        <w:tc>
          <w:tcPr>
            <w:tcW w:type="dxa" w:w="16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Assessor Score (1-5)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12.1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Are LLM / GenAI inference latencies, prompt tokens, and completion costs tracked per application/squad?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Practice Maturity (1-5)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EV12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Bedrock chatbot running with zero telemetry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1.5</w:t>
            </w:r>
          </w:p>
        </w:tc>
      </w:tr>
      <w:tr>
        <w:trPr>
          <w:cantSplit/>
        </w:trPr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12.2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Are vector search retrieval latencies (OpenSearch / Pinecone) and similarity threshold scores monitored?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Practice Maturity (1-5)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EV12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Vector search latency uninstrumented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1.0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12.3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Are automated evaluation metrics (faithfulness, context relevance, hallucination rate) tracked in production?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Practice Maturity (1-5)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EV12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Hallucinations reported manually by users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1.0</w:t>
            </w:r>
          </w:p>
        </w:tc>
      </w:tr>
      <w:tr>
        <w:trPr>
          <w:cantSplit/>
        </w:trPr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12.4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Is the freshness and embedding sync lag of knowledge-base documents powering RAG flows observable?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Practice Maturity (1-5)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EV12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Knowledge base sync lag unknown</w:t>
            </w:r>
          </w:p>
        </w:tc>
        <w:tc>
          <w:tcPr>
            <w:tcW w:type="dxa" w:w="16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1.5</w:t>
            </w:r>
          </w:p>
        </w:tc>
      </w:tr>
    </w:tbl>
    <w:p>
      <w:pPr>
        <w:spacing w:after="80"/>
      </w:pPr>
    </w:p>
    <w:p>
      <w:pPr/>
      <w:r>
        <w:rPr>
          <w:rFonts w:ascii="Calibri" w:hAnsi="Calibri" w:cs="Calibri" w:eastAsia="Calibri"/>
          <w:b/>
          <w:color w:val="1A1A1A"/>
          <w:sz w:val="22"/>
        </w:rPr>
        <w:t>O12 — Carbon &amp; Sustainability Observability (Reserved — Modular)</w:t>
        <w:br/>
        <w:t>The following questions are scoped for Phase 3 engagement or enterprises with active ESG mandates.</w:t>
      </w:r>
    </w:p>
    <w:p>
      <w:pPr/>
      <w:r>
        <w:rPr>
          <w:rFonts w:ascii="Calibri" w:hAnsi="Calibri" w:cs="Calibri" w:eastAsia="Calibri"/>
          <w:i/>
          <w:color w:val="1A1A1A"/>
          <w:sz w:val="22"/>
        </w:rPr>
        <w:t>12A.1 | Is cloud compute Scope 3 carbon footprint tracked per workload using AWS Customer Carbon Footprint Tool or equivalent? | Practice Maturity (1-5) | EV13 | Modular / Not Yet Assessed</w:t>
      </w:r>
    </w:p>
    <w:p>
      <w:pPr/>
      <w:r>
        <w:rPr>
          <w:rFonts w:ascii="Calibri" w:hAnsi="Calibri" w:cs="Calibri" w:eastAsia="Calibri"/>
          <w:i/>
          <w:color w:val="1A1A1A"/>
          <w:sz w:val="22"/>
        </w:rPr>
        <w:t>12A.2 | Are AWS Compute Optimizer rightsizing recommendations reviewed quarterly to reduce idle resource energy consumption? | Practice Maturity (1-5) | EV13 | Modular / Not Yet Assessed</w:t>
      </w:r>
    </w:p>
    <w:p>
      <w:pPr/>
      <w:r>
        <w:rPr>
          <w:rFonts w:ascii="Calibri" w:hAnsi="Calibri" w:cs="Calibri" w:eastAsia="Calibri"/>
          <w:i/>
          <w:color w:val="1A1A1A"/>
          <w:sz w:val="22"/>
        </w:rPr>
        <w:t>12A.3 | Are automated monthly sustainability observability scorecards generated and reviewed by FinOps / ESG governance teams? | Practice Maturity (1-5) | EV13 | Modular / Not Yet Assessed</w:t>
      </w:r>
    </w:p>
    <w:p>
      <w:pPr>
        <w:keepNext/>
        <w:spacing w:before="280" w:after="80"/>
      </w:pPr>
      <w:r>
        <w:rPr>
          <w:rFonts w:ascii="Calibri" w:hAnsi="Calibri" w:cs="Calibri" w:eastAsia="Calibri"/>
          <w:b/>
          <w:color w:val="1A1A1A"/>
          <w:sz w:val="22"/>
        </w:rPr>
        <w:t>Part 3: Assessment Execution &amp; Governance Flow</w:t>
      </w:r>
    </w:p>
    <w:p>
      <w:pPr>
        <w:spacing w:before="0" w:after="60" w:line="276" w:lineRule="auto"/>
      </w:pPr>
      <w:r>
        <w:rPr>
          <w:rFonts w:ascii="Calibri" w:hAnsi="Calibri" w:cs="Calibri" w:eastAsia="Calibri"/>
          <w:color w:val="1A1A1A"/>
          <w:sz w:val="22"/>
        </w:rPr>
        <w:t>The completion of this questionnaire initiates Vithi's structured 4-step diagnostic flow: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Calibri"/>
          <w:b/>
          <w:color w:val="1A1A1A"/>
          <w:sz w:val="22"/>
        </w:rPr>
        <w:t xml:space="preserve">Step 1 — Discovery &amp; Trigger Alignment (Day 1): </w:t>
      </w:r>
      <w:r>
        <w:rPr>
          <w:rFonts w:ascii="Calibri" w:hAnsi="Calibri" w:cs="Calibri" w:eastAsia="Calibri"/>
          <w:color w:val="1A1A1A"/>
          <w:sz w:val="22"/>
        </w:rPr>
        <w:t>Assessor and client leadership align on business triggers (BT-01 to BT-06) and confirm in-scope assets.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Calibri"/>
          <w:b/>
          <w:color w:val="1A1A1A"/>
          <w:sz w:val="22"/>
        </w:rPr>
        <w:t xml:space="preserve">Step 2 — Questionnaire Self-Scoring (Days 2–4): </w:t>
      </w:r>
      <w:r>
        <w:rPr>
          <w:rFonts w:ascii="Calibri" w:hAnsi="Calibri" w:cs="Calibri" w:eastAsia="Calibri"/>
          <w:color w:val="1A1A1A"/>
          <w:sz w:val="22"/>
        </w:rPr>
        <w:t>Engineering and data squad leads complete self-scores and provide evidence pointers.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Calibri"/>
          <w:b/>
          <w:color w:val="1A1A1A"/>
          <w:sz w:val="22"/>
        </w:rPr>
        <w:t>Step 3 — Two-Week Evidence Sprint (Weeks 1–2): Vithi Principal Architects inspect 13 concrete evidence artifacts (EV01–EV13) under read-only access to validate scores.</w:t>
      </w:r>
      <w:r>
        <w:rPr>
          <w:rFonts w:ascii="Calibri" w:hAnsi="Calibri" w:cs="Calibri" w:eastAsia="Calibri"/>
          <w:color w:val="1A1A1A"/>
          <w:sz w:val="22"/>
        </w:rPr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Calibri"/>
          <w:b/>
          <w:color w:val="1A1A1A"/>
          <w:sz w:val="22"/>
        </w:rPr>
        <w:t xml:space="preserve">Step 4 — Executive Readout &amp; Roadmap (Week 3): </w:t>
      </w:r>
      <w:r>
        <w:rPr>
          <w:rFonts w:ascii="Calibri" w:hAnsi="Calibri" w:cs="Calibri" w:eastAsia="Calibri"/>
          <w:color w:val="1A1A1A"/>
          <w:sz w:val="22"/>
        </w:rPr>
        <w:t>Formal readout presenting the audited Maturity Scorecard, 1-page executive summary, tool rationalization savings, and 3-horizon transformation roadmap.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64748B"/>
        <w:sz w:val="17"/>
      </w:rPr>
      <w:t>Confidential | Observability Maturity Assessment Questionnaire | v2.0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64748B"/>
        <w:sz w:val="17"/>
      </w:rPr>
      <w:t>VITHI IT SOLUTIONS | OBSERVABILITY PRACTICE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