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cs="Calibri" w:eastAsia="Calibri"/>
          <w:b/>
          <w:color w:val="1A1A1A"/>
          <w:sz w:val="22"/>
        </w:rPr>
        <w:t>VITHI OBSERVABILITY PRACTICE — ILLUSTRATIVE ENTERPRISE VALUE BLUEPRINT</w:t>
      </w:r>
    </w:p>
    <w:p>
      <w:pPr>
        <w:spacing w:before="0" w:after="40"/>
      </w:pPr>
      <w:r>
        <w:rPr>
          <w:rFonts w:ascii="Calibri" w:hAnsi="Calibri" w:cs="Calibri" w:eastAsia="Calibri"/>
          <w:b/>
          <w:color w:val="1A1A1A"/>
          <w:sz w:val="22"/>
        </w:rPr>
        <w:t>Illustrative Value Blueprint: AWS Observability Transformation</w:t>
      </w:r>
    </w:p>
    <w:p>
      <w:pPr>
        <w:spacing w:before="0" w:after="160"/>
      </w:pPr>
      <w:r>
        <w:rPr>
          <w:rFonts w:ascii="Calibri" w:hAnsi="Calibri" w:cs="Calibri" w:eastAsia="Calibri"/>
          <w:b w:val="0"/>
          <w:color w:val="1A1A1A"/>
          <w:sz w:val="22"/>
        </w:rPr>
        <w:t>A Focused Two-Week Evidence Sprint &amp; Practical SRE Implementation (Sanitized Reference Estate &amp; Modeled Value Architecture)</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r>
              <w:rPr>
                <w:rFonts w:ascii="Calibri" w:hAnsi="Calibri" w:cs="Calibri" w:eastAsia="Calibri"/>
                <w:color w:val="1A1A1A"/>
                <w:sz w:val="20"/>
              </w:rPr>
              <w:t>EXECUTIVE ENGAGEMENT CONTEXT</w:t>
              <w:br/>
              <w:t>CLIENT PROFILE: Apex Digital Banking &amp; Wealth Services Ltd. (Sanitized Enterprise Reference Estate — Illustrative Value Blueprint)</w:t>
              <w:br/>
              <w:t>PRIMARY ESTATE: Multi-Account AWS (14 Accounts, 6 EKS Clusters, 42 Microservices, RDS Aurora, Kafka Streaming)</w:t>
              <w:br/>
              <w:t>DATA PLATFORM: Modern Data Platform (Snowflake, AWS Glue, Apache Airflow, Kafka)</w:t>
              <w:br/>
              <w:t>EXECUTIVE SPONSORS: VP of Site Reliability &amp; Cloud Operations | Head of Enterprise Data Architecture</w:t>
              <w:br/>
              <w:t>ASSESSMENT BASELINE: Maturity Level 2.12 / 5.0 (Defined / Siloed)  →  ACHIEVED: Maturity Level 3.85 / 5.0 (SRE-Driven)</w:t>
            </w:r>
          </w:p>
        </w:tc>
      </w:tr>
    </w:tbl>
    <w:p>
      <w:pPr>
        <w:spacing w:after="60"/>
      </w:pPr>
    </w:p>
    <w:p>
      <w:pPr>
        <w:keepNext/>
        <w:spacing w:before="280" w:after="80"/>
      </w:pPr>
      <w:r>
        <w:rPr>
          <w:rFonts w:ascii="Calibri" w:hAnsi="Calibri" w:cs="Calibri" w:eastAsia="Calibri"/>
          <w:b/>
          <w:color w:val="1A1A1A"/>
          <w:sz w:val="22"/>
        </w:rPr>
        <w:t>1. Executive Summary</w:t>
      </w:r>
    </w:p>
    <w:p>
      <w:pPr>
        <w:spacing w:before="0" w:after="60" w:line="276" w:lineRule="auto"/>
      </w:pPr>
      <w:r>
        <w:rPr>
          <w:rFonts w:ascii="Calibri" w:hAnsi="Calibri" w:cs="Calibri" w:eastAsia="Calibri"/>
          <w:color w:val="1A1A1A"/>
          <w:sz w:val="22"/>
        </w:rPr>
        <w:t>Apex Digital Banking operates a high-growth digital wealth and payment platform supporting 2.4 million active users. Over 18 months of rapid feature delivery, their observability infrastructure suffered from acute 'Observability Debt': six disparate monitoring tools operated in silos, generating over 32,000 monthly alerts that overwhelmed on-call engineering teams. During a Black Friday retail peak, a silent Kafka timeout triggered a 38-minute payment gateway outage resulting in 4,200 failed customer checkouts and severe merchant partner escalation.</w:t>
      </w:r>
    </w:p>
    <w:p>
      <w:pPr>
        <w:spacing w:before="0" w:after="60" w:line="276" w:lineRule="auto"/>
      </w:pPr>
      <w:r>
        <w:rPr>
          <w:rFonts w:ascii="Calibri" w:hAnsi="Calibri" w:cs="Calibri" w:eastAsia="Calibri"/>
          <w:color w:val="1A1A1A"/>
          <w:sz w:val="22"/>
        </w:rPr>
        <w:t>Rather than attempting an open-ended, multi-year 'enterprise transformation', this illustrative value blueprint models how an enterprise like Apex engaged Vithi IT Solutions to run a focused two-week evidence sprint for selected critical services, payment data pipelines, and core customer journeys. The evidence sprint produced an audited maturity baseline, an alert noise root-cause map, and an actionable 90-day implementation sprint menu.</w:t>
      </w:r>
    </w:p>
    <w:p>
      <w:pPr>
        <w:spacing w:before="0" w:after="60" w:line="276" w:lineRule="auto"/>
      </w:pPr>
      <w:r>
        <w:rPr>
          <w:rFonts w:ascii="Calibri" w:hAnsi="Calibri" w:cs="Calibri" w:eastAsia="Calibri"/>
          <w:color w:val="1A1A1A"/>
          <w:sz w:val="22"/>
        </w:rPr>
        <w:t>By shifting the engineering organization from subjective opinions to evidence-backed telemetry governance across dimensions O0 through O11, Vithi helped Apex reduce Mean Time to Recovery (MTTR) by 74%, eliminate 82% of alert noise, and reclaim 380+ engineering hours per month previously lost to alert fatigue.</w:t>
      </w:r>
    </w:p>
    <w:p>
      <w:pPr>
        <w:keepNext/>
        <w:spacing w:before="200" w:after="60"/>
      </w:pPr>
      <w:r>
        <w:rPr>
          <w:rFonts w:ascii="Calibri" w:hAnsi="Calibri" w:cs="Calibri" w:eastAsia="Calibri"/>
          <w:b/>
          <w:color w:val="1A1A1A"/>
          <w:sz w:val="22"/>
        </w:rPr>
        <w:t>Executive Operational Trajectory (Before vs After Implementation):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rPr>
          <w:tblHeader/>
          <w:cantSplit/>
        </w:trPr>
        <w:tc>
          <w:tcPr>
            <w:tcW w:type="dxa" w:w="2484"/>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Key Performance Indicator</w:t>
            </w:r>
          </w:p>
        </w:tc>
        <w:tc>
          <w:tcPr>
            <w:tcW w:type="dxa" w:w="2484"/>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Pre-Assessment Baseline</w:t>
            </w:r>
          </w:p>
        </w:tc>
        <w:tc>
          <w:tcPr>
            <w:tcW w:type="dxa" w:w="2484"/>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Post-Transformation Outcome</w:t>
            </w:r>
          </w:p>
        </w:tc>
        <w:tc>
          <w:tcPr>
            <w:tcW w:type="dxa" w:w="2484"/>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Executive Business Value</w:t>
            </w:r>
          </w:p>
        </w:tc>
      </w:tr>
      <w:tr>
        <w:trPr>
          <w:cantSplit/>
        </w:trPr>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Overall Maturity Level</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Level 2.12 / 5.0 (Defined / Siloed)</w:t>
            </w:r>
          </w:p>
        </w:tc>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Level 3.85 / 5.0 (SRE-Driven)</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Shifted from reactive firefighting to proactive reliability governance</w:t>
            </w:r>
          </w:p>
        </w:tc>
      </w:tr>
      <w:tr>
        <w:trPr>
          <w:cantSplit/>
        </w:trPr>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Mean Time to Resolve (MTTR)</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165 minutes</w:t>
            </w:r>
          </w:p>
        </w:tc>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42 minutes (-74%)</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Eliminated manual war rooms; accelerated triage via distributed tracing</w:t>
            </w:r>
          </w:p>
        </w:tc>
      </w:tr>
      <w:tr>
        <w:trPr>
          <w:cantSplit/>
        </w:trPr>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Monthly Alert Volume</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32,400 alerts / month</w:t>
            </w:r>
          </w:p>
        </w:tc>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5,800 alerts / month (-82%)</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Recovered 380 senior engineering hours/month previously lost to noise</w:t>
            </w:r>
          </w:p>
        </w:tc>
      </w:tr>
      <w:tr>
        <w:trPr>
          <w:cantSplit/>
        </w:trPr>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Actionable Alert Precision Rate</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39% actionable (61% noise)</w:t>
            </w:r>
          </w:p>
        </w:tc>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84% actionable (Target ≥75%)</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Alerts fire only when real user impact occurs, backed by verified runbooks</w:t>
            </w:r>
          </w:p>
        </w:tc>
      </w:tr>
      <w:tr>
        <w:trPr>
          <w:cantSplit/>
        </w:trPr>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Duplicate / Cascading Storm Rate</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18% cascading storm rate</w:t>
            </w:r>
          </w:p>
        </w:tc>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5.5% isolated rate (Target ≤7%)</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Dependency-aware event grouping suppresses cascading alarm floods</w:t>
            </w:r>
          </w:p>
        </w:tc>
      </w:tr>
      <w:tr>
        <w:trPr>
          <w:cantSplit/>
        </w:trPr>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Tier-1 Service Telemetry Coverage</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42% partial metrics only</w:t>
            </w:r>
          </w:p>
        </w:tc>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96% logs, metrics &amp; traces</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Complete Golden Signals instrumentation across all 18 Tier-1 services</w:t>
            </w:r>
          </w:p>
        </w:tc>
      </w:tr>
      <w:tr>
        <w:trPr>
          <w:cantSplit/>
        </w:trPr>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Runbook-Linked Alert Coverage</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12% of alerts linked</w:t>
            </w:r>
          </w:p>
        </w:tc>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100% of P1 / P2 alerts</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On-call engineers resolve incidents in 1 click from verified runbook URLs</w:t>
            </w:r>
          </w:p>
        </w:tc>
      </w:tr>
      <w:tr>
        <w:trPr>
          <w:cantSplit/>
        </w:trPr>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Telemetry Spend Attribution (FinOps)</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0% (Unallocated IT budget)</w:t>
            </w:r>
          </w:p>
        </w:tc>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92% tagged to squad owner</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FinOps showback holds squads accountable for telemetry ingestion spend</w:t>
            </w:r>
          </w:p>
        </w:tc>
      </w:tr>
      <w:tr>
        <w:trPr>
          <w:cantSplit/>
        </w:trPr>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Distributed Tracing Coverage</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35% (Broken at Kafka)</w:t>
            </w:r>
          </w:p>
        </w:tc>
        <w:tc>
          <w:tcPr>
            <w:tcW w:type="dxa" w:w="2484"/>
            <w:shd w:fill="FFFFFF"/>
            <w:tcMar>
              <w:top w:w="80" w:type="dxa"/>
              <w:bottom w:w="80" w:type="dxa"/>
              <w:left w:w="100" w:type="dxa"/>
              <w:right w:w="100" w:type="dxa"/>
            </w:tcMar>
          </w:tcPr>
          <w:p>
            <w:pPr>
              <w:spacing w:before="0" w:after="0"/>
            </w:pPr>
            <w:r>
              <w:rPr>
                <w:rFonts w:ascii="Calibri" w:hAnsi="Calibri" w:cs="Calibri" w:eastAsia="Calibri"/>
                <w:b/>
                <w:color w:val="1A1A1A"/>
                <w:sz w:val="20"/>
              </w:rPr>
              <w:t>94% end-to-end spans</w:t>
            </w:r>
          </w:p>
        </w:tc>
        <w:tc>
          <w:tcPr>
            <w:tcW w:type="dxa" w:w="2484"/>
            <w:shd w:fill="FFFFFF"/>
            <w:tcMar>
              <w:top w:w="80" w:type="dxa"/>
              <w:bottom w:w="80" w:type="dxa"/>
              <w:left w:w="100" w:type="dxa"/>
              <w:right w:w="100" w:type="dxa"/>
            </w:tcMar>
          </w:tcPr>
          <w:p>
            <w:pPr>
              <w:spacing w:before="0" w:after="0"/>
            </w:pPr>
            <w:r>
              <w:rPr>
                <w:rFonts w:ascii="Calibri" w:hAnsi="Calibri" w:cs="Calibri" w:eastAsia="Calibri"/>
                <w:color w:val="1A1A1A"/>
                <w:sz w:val="20"/>
              </w:rPr>
              <w:t>W3C trace context connects asynchronous Kafka workers to API endpoints</w:t>
            </w:r>
          </w:p>
        </w:tc>
      </w:tr>
      <w:tr>
        <w:trPr>
          <w:cantSplit/>
        </w:trPr>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Telemetry Ingestion Overhead</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Sprawling duplicate logging across 3 tools</w:t>
            </w:r>
          </w:p>
        </w:tc>
        <w:tc>
          <w:tcPr>
            <w:tcW w:type="dxa" w:w="2484"/>
            <w:shd w:fill="F8FAFC"/>
            <w:tcMar>
              <w:top w:w="80" w:type="dxa"/>
              <w:bottom w:w="80" w:type="dxa"/>
              <w:left w:w="100" w:type="dxa"/>
              <w:right w:w="100" w:type="dxa"/>
            </w:tcMar>
          </w:tcPr>
          <w:p>
            <w:pPr>
              <w:spacing w:before="0" w:after="0"/>
            </w:pPr>
            <w:r>
              <w:rPr>
                <w:rFonts w:ascii="Calibri" w:hAnsi="Calibri" w:cs="Calibri" w:eastAsia="Calibri"/>
                <w:b/>
                <w:color w:val="1A1A1A"/>
                <w:sz w:val="20"/>
              </w:rPr>
              <w:t>Unified OpenTelemetry &amp; Vector filtering</w:t>
            </w:r>
          </w:p>
        </w:tc>
        <w:tc>
          <w:tcPr>
            <w:tcW w:type="dxa" w:w="2484"/>
            <w:shd w:fill="F8FAFC"/>
            <w:tcMar>
              <w:top w:w="80" w:type="dxa"/>
              <w:bottom w:w="80" w:type="dxa"/>
              <w:left w:w="100" w:type="dxa"/>
              <w:right w:w="100" w:type="dxa"/>
            </w:tcMar>
          </w:tcPr>
          <w:p>
            <w:pPr>
              <w:spacing w:before="0" w:after="0"/>
            </w:pPr>
            <w:r>
              <w:rPr>
                <w:rFonts w:ascii="Calibri" w:hAnsi="Calibri" w:cs="Calibri" w:eastAsia="Calibri"/>
                <w:color w:val="1A1A1A"/>
                <w:sz w:val="20"/>
              </w:rPr>
              <w:t>Reduced ingestion overhead by 25% and eliminated duplicate application indexing</w:t>
            </w:r>
          </w:p>
        </w:tc>
      </w:tr>
    </w:tbl>
    <w:p>
      <w:pPr>
        <w:keepNext/>
        <w:spacing w:before="280" w:after="80"/>
      </w:pPr>
      <w:r>
        <w:rPr>
          <w:rFonts w:ascii="Calibri" w:hAnsi="Calibri" w:cs="Calibri" w:eastAsia="Calibri"/>
          <w:b/>
          <w:color w:val="1A1A1A"/>
          <w:sz w:val="22"/>
        </w:rPr>
        <w:t>2. Customer Context &amp; The Business Catalyst</w:t>
      </w:r>
    </w:p>
    <w:p>
      <w:pPr>
        <w:spacing w:before="0" w:after="60" w:line="276" w:lineRule="auto"/>
      </w:pPr>
      <w:r>
        <w:rPr>
          <w:rFonts w:ascii="Calibri" w:hAnsi="Calibri" w:cs="Calibri" w:eastAsia="Calibri"/>
          <w:color w:val="1A1A1A"/>
          <w:sz w:val="22"/>
        </w:rPr>
        <w:t>Apex Digital Banking operates 42 containerized microservices deployed across 6 Amazon EKS clusters, interfacing with on-premises mainframe banking ledgers via dedicated AWS Direct Connect circuits. Their modern data platform processes over 120 batch ETL pipelines and a high-throughput Kafka event bus powering real-time fraud scoring.</w:t>
      </w:r>
    </w:p>
    <w:p>
      <w:pPr>
        <w:spacing w:before="0" w:after="60" w:line="276" w:lineRule="auto"/>
      </w:pPr>
      <w:r>
        <w:rPr>
          <w:rFonts w:ascii="Calibri" w:hAnsi="Calibri" w:cs="Calibri" w:eastAsia="Calibri"/>
          <w:color w:val="1A1A1A"/>
          <w:sz w:val="22"/>
        </w:rPr>
        <w:t>Four acute business triggers compelled the CIO and VP of SRE to commission this review:</w:t>
      </w:r>
    </w:p>
    <w:p>
      <w:pPr>
        <w:pStyle w:val="ListBullet"/>
        <w:spacing w:before="0" w:after="40" w:line="276" w:lineRule="auto"/>
      </w:pPr>
      <w:r>
        <w:rPr>
          <w:rFonts w:ascii="Calibri" w:hAnsi="Calibri" w:cs="Calibri" w:eastAsia="Calibri"/>
          <w:b/>
          <w:color w:val="1A1A1A"/>
          <w:sz w:val="22"/>
        </w:rPr>
        <w:t xml:space="preserve">1. Catastrophic Customer Outage: </w:t>
      </w:r>
      <w:r>
        <w:rPr>
          <w:rFonts w:ascii="Calibri" w:hAnsi="Calibri" w:cs="Calibri" w:eastAsia="Calibri"/>
          <w:color w:val="1A1A1A"/>
          <w:sz w:val="22"/>
        </w:rPr>
        <w:t>A Sev-1 failure in the checkout tokenization service caused a 38-minute outage. Because traces dropped across Kafka, engineers spent 28 minutes simply isolating which service was failing.</w:t>
      </w:r>
    </w:p>
    <w:p>
      <w:pPr>
        <w:pStyle w:val="ListBullet"/>
        <w:spacing w:before="0" w:after="40" w:line="276" w:lineRule="auto"/>
      </w:pPr>
      <w:r>
        <w:rPr>
          <w:rFonts w:ascii="Calibri" w:hAnsi="Calibri" w:cs="Calibri" w:eastAsia="Calibri"/>
          <w:b/>
          <w:color w:val="1A1A1A"/>
          <w:sz w:val="22"/>
        </w:rPr>
        <w:t xml:space="preserve">2. Unplanned Telemetry Volume Spike: </w:t>
      </w:r>
      <w:r>
        <w:rPr>
          <w:rFonts w:ascii="Calibri" w:hAnsi="Calibri" w:cs="Calibri" w:eastAsia="Calibri"/>
          <w:color w:val="1A1A1A"/>
          <w:sz w:val="22"/>
        </w:rPr>
        <w:t>Datadog custom metrics and CloudWatch log ingestion grew by 42% over two quarters, creating severe unmanaged telemetry bloat.</w:t>
      </w:r>
    </w:p>
    <w:p>
      <w:pPr>
        <w:pStyle w:val="ListBullet"/>
        <w:spacing w:before="0" w:after="40" w:line="276" w:lineRule="auto"/>
      </w:pPr>
      <w:r>
        <w:rPr>
          <w:rFonts w:ascii="Calibri" w:hAnsi="Calibri" w:cs="Calibri" w:eastAsia="Calibri"/>
          <w:b/>
          <w:color w:val="1A1A1A"/>
          <w:sz w:val="22"/>
        </w:rPr>
        <w:t xml:space="preserve">3. Severe On-Call Burnout: </w:t>
      </w:r>
      <w:r>
        <w:rPr>
          <w:rFonts w:ascii="Calibri" w:hAnsi="Calibri" w:cs="Calibri" w:eastAsia="Calibri"/>
          <w:color w:val="1A1A1A"/>
          <w:sz w:val="22"/>
        </w:rPr>
        <w:t>Senior engineers were averaging 14 wake-up pages per on-call shift, resulting in high voluntary attrition and three ignored critical alerts.</w:t>
      </w:r>
    </w:p>
    <w:p>
      <w:pPr>
        <w:pStyle w:val="ListBullet"/>
        <w:spacing w:before="0" w:after="40" w:line="276" w:lineRule="auto"/>
      </w:pPr>
      <w:r>
        <w:rPr>
          <w:rFonts w:ascii="Calibri" w:hAnsi="Calibri" w:cs="Calibri" w:eastAsia="Calibri"/>
          <w:b/>
          <w:color w:val="1A1A1A"/>
          <w:sz w:val="22"/>
        </w:rPr>
        <w:t xml:space="preserve">4. Silent Data Corruption: </w:t>
      </w:r>
      <w:r>
        <w:rPr>
          <w:rFonts w:ascii="Calibri" w:hAnsi="Calibri" w:cs="Calibri" w:eastAsia="Calibri"/>
          <w:color w:val="1A1A1A"/>
          <w:sz w:val="22"/>
        </w:rPr>
        <w:t>A silent schema drift in an upstream transactional database broke the Wealth Management Daily P&amp;L report for 40 executive advisors, resulting in compliance scrutiny.</w:t>
      </w:r>
    </w:p>
    <w:p>
      <w:pPr>
        <w:keepNext/>
        <w:spacing w:before="280" w:after="80"/>
      </w:pPr>
      <w:r>
        <w:rPr>
          <w:rFonts w:ascii="Calibri" w:hAnsi="Calibri" w:cs="Calibri" w:eastAsia="Calibri"/>
          <w:b/>
          <w:color w:val="1A1A1A"/>
          <w:sz w:val="22"/>
        </w:rPr>
        <w:t>3. Assessment Method &amp; Audited Evidence (EV01–EV12)</w:t>
      </w:r>
    </w:p>
    <w:p>
      <w:pPr>
        <w:spacing w:before="0" w:after="60" w:line="276" w:lineRule="auto"/>
      </w:pPr>
      <w:r>
        <w:rPr>
          <w:rFonts w:ascii="Calibri" w:hAnsi="Calibri" w:cs="Calibri" w:eastAsia="Calibri"/>
          <w:color w:val="1A1A1A"/>
          <w:sz w:val="22"/>
        </w:rPr>
        <w:t>Rather than relying on subjective staff interviews, Vithi conducted a 2-week evidence diagnostic auditing 13 concrete artifacts (EV01–EV13) under read-only access: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Evidence ID &amp; Artifact</w:t>
            </w:r>
          </w:p>
        </w:tc>
        <w:tc>
          <w:tcPr>
            <w:tcW w:type="dxa" w:w="331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Assessed Scope &amp; Source</w:t>
            </w:r>
          </w:p>
        </w:tc>
        <w:tc>
          <w:tcPr>
            <w:tcW w:type="dxa" w:w="331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Key Audit Finding &amp; Operational Risk</w:t>
            </w:r>
          </w:p>
        </w:tc>
      </w:tr>
      <w:tr>
        <w:trPr>
          <w:cantSplit/>
        </w:trPr>
        <w:tc>
          <w:tcPr>
            <w:tcW w:type="dxa" w:w="3312"/>
            <w:shd w:fill="FFFFFF"/>
            <w:tcMar>
              <w:top w:w="80" w:type="dxa"/>
              <w:bottom w:w="80" w:type="dxa"/>
              <w:left w:w="100" w:type="dxa"/>
              <w:right w:w="100" w:type="dxa"/>
            </w:tcMar>
          </w:tcPr>
          <w:p>
            <w:pPr>
              <w:spacing w:before="0" w:after="0"/>
            </w:pPr>
            <w:r>
              <w:rPr>
                <w:rFonts w:ascii="Calibri" w:hAnsi="Calibri" w:cs="Calibri" w:eastAsia="Calibri"/>
                <w:b/>
                <w:color w:val="1A1A1A"/>
                <w:sz w:val="20"/>
              </w:rPr>
              <w:t>EV01 &amp; EV02: Service Catalog &amp; Architecture</w:t>
            </w:r>
          </w:p>
        </w:tc>
        <w:tc>
          <w:tcPr>
            <w:tcW w:type="dxa" w:w="3312"/>
            <w:shd w:fill="FFFFFF"/>
            <w:tcMar>
              <w:top w:w="80" w:type="dxa"/>
              <w:bottom w:w="80" w:type="dxa"/>
              <w:left w:w="100" w:type="dxa"/>
              <w:right w:w="100" w:type="dxa"/>
            </w:tcMar>
          </w:tcPr>
          <w:p>
            <w:pPr>
              <w:spacing w:before="0" w:after="0"/>
            </w:pPr>
            <w:r>
              <w:rPr>
                <w:rFonts w:ascii="Calibri" w:hAnsi="Calibri" w:cs="Calibri" w:eastAsia="Calibri"/>
                <w:color w:val="1A1A1A"/>
                <w:sz w:val="20"/>
              </w:rPr>
              <w:t>Confluence, ServiceNow, AWS Topology</w:t>
            </w:r>
          </w:p>
        </w:tc>
        <w:tc>
          <w:tcPr>
            <w:tcW w:type="dxa" w:w="3312"/>
            <w:shd w:fill="FFFFFF"/>
            <w:tcMar>
              <w:top w:w="80" w:type="dxa"/>
              <w:bottom w:w="80" w:type="dxa"/>
              <w:left w:w="100" w:type="dxa"/>
              <w:right w:w="100" w:type="dxa"/>
            </w:tcMar>
          </w:tcPr>
          <w:p>
            <w:pPr>
              <w:spacing w:before="0" w:after="0"/>
            </w:pPr>
            <w:r>
              <w:rPr>
                <w:rFonts w:ascii="Calibri" w:hAnsi="Calibri" w:cs="Calibri" w:eastAsia="Calibri"/>
                <w:color w:val="1A1A1A"/>
                <w:sz w:val="20"/>
              </w:rPr>
              <w:t>42 services inventoried; 18 Tier-1. Architecture lacked dynamic Kafka worker dependency mapping.</w:t>
            </w:r>
          </w:p>
        </w:tc>
      </w:tr>
      <w:tr>
        <w:trPr>
          <w:cantSplit/>
        </w:trPr>
        <w:tc>
          <w:tcPr>
            <w:tcW w:type="dxa" w:w="3312"/>
            <w:shd w:fill="F8FAFC"/>
            <w:tcMar>
              <w:top w:w="80" w:type="dxa"/>
              <w:bottom w:w="80" w:type="dxa"/>
              <w:left w:w="100" w:type="dxa"/>
              <w:right w:w="100" w:type="dxa"/>
            </w:tcMar>
          </w:tcPr>
          <w:p>
            <w:pPr>
              <w:spacing w:before="0" w:after="0"/>
            </w:pPr>
            <w:r>
              <w:rPr>
                <w:rFonts w:ascii="Calibri" w:hAnsi="Calibri" w:cs="Calibri" w:eastAsia="Calibri"/>
                <w:b/>
                <w:color w:val="1A1A1A"/>
                <w:sz w:val="20"/>
              </w:rPr>
              <w:t>EV03 &amp; EV11: Telemetry Agents &amp; Ingestion Config</w:t>
            </w:r>
          </w:p>
        </w:tc>
        <w:tc>
          <w:tcPr>
            <w:tcW w:type="dxa" w:w="3312"/>
            <w:shd w:fill="F8FAFC"/>
            <w:tcMar>
              <w:top w:w="80" w:type="dxa"/>
              <w:bottom w:w="80" w:type="dxa"/>
              <w:left w:w="100" w:type="dxa"/>
              <w:right w:w="100" w:type="dxa"/>
            </w:tcMar>
          </w:tcPr>
          <w:p>
            <w:pPr>
              <w:spacing w:before="0" w:after="0"/>
            </w:pPr>
            <w:r>
              <w:rPr>
                <w:rFonts w:ascii="Calibri" w:hAnsi="Calibri" w:cs="Calibri" w:eastAsia="Calibri"/>
                <w:color w:val="1A1A1A"/>
                <w:sz w:val="20"/>
              </w:rPr>
              <w:t>Terraform repos, Telemetry Ingestion Reports</w:t>
            </w:r>
          </w:p>
        </w:tc>
        <w:tc>
          <w:tcPr>
            <w:tcW w:type="dxa" w:w="3312"/>
            <w:shd w:fill="F8FAFC"/>
            <w:tcMar>
              <w:top w:w="80" w:type="dxa"/>
              <w:bottom w:w="80" w:type="dxa"/>
              <w:left w:w="100" w:type="dxa"/>
              <w:right w:w="100" w:type="dxa"/>
            </w:tcMar>
          </w:tcPr>
          <w:p>
            <w:pPr>
              <w:spacing w:before="0" w:after="0"/>
            </w:pPr>
            <w:r>
              <w:rPr>
                <w:rFonts w:ascii="Calibri" w:hAnsi="Calibri" w:cs="Calibri" w:eastAsia="Calibri"/>
                <w:color w:val="1A1A1A"/>
                <w:sz w:val="20"/>
              </w:rPr>
              <w:t>Datadog agents on 85% of VMs. Triple-logging found: CloudWatch piped raw logs to both Splunk and Datadog.</w:t>
            </w:r>
          </w:p>
        </w:tc>
      </w:tr>
      <w:tr>
        <w:trPr>
          <w:cantSplit/>
        </w:trPr>
        <w:tc>
          <w:tcPr>
            <w:tcW w:type="dxa" w:w="3312"/>
            <w:shd w:fill="FFFFFF"/>
            <w:tcMar>
              <w:top w:w="80" w:type="dxa"/>
              <w:bottom w:w="80" w:type="dxa"/>
              <w:left w:w="100" w:type="dxa"/>
              <w:right w:w="100" w:type="dxa"/>
            </w:tcMar>
          </w:tcPr>
          <w:p>
            <w:pPr>
              <w:spacing w:before="0" w:after="0"/>
            </w:pPr>
            <w:r>
              <w:rPr>
                <w:rFonts w:ascii="Calibri" w:hAnsi="Calibri" w:cs="Calibri" w:eastAsia="Calibri"/>
                <w:b/>
                <w:color w:val="1A1A1A"/>
                <w:sz w:val="20"/>
              </w:rPr>
              <w:t>EV04 &amp; EV05: 90-Day Pagers &amp; Runbooks</w:t>
            </w:r>
          </w:p>
        </w:tc>
        <w:tc>
          <w:tcPr>
            <w:tcW w:type="dxa" w:w="3312"/>
            <w:shd w:fill="FFFFFF"/>
            <w:tcMar>
              <w:top w:w="80" w:type="dxa"/>
              <w:bottom w:w="80" w:type="dxa"/>
              <w:left w:w="100" w:type="dxa"/>
              <w:right w:w="100" w:type="dxa"/>
            </w:tcMar>
          </w:tcPr>
          <w:p>
            <w:pPr>
              <w:spacing w:before="0" w:after="0"/>
            </w:pPr>
            <w:r>
              <w:rPr>
                <w:rFonts w:ascii="Calibri" w:hAnsi="Calibri" w:cs="Calibri" w:eastAsia="Calibri"/>
                <w:color w:val="1A1A1A"/>
                <w:sz w:val="20"/>
              </w:rPr>
              <w:t>PagerDuty CSV (97,200 events analyzed)</w:t>
            </w:r>
          </w:p>
        </w:tc>
        <w:tc>
          <w:tcPr>
            <w:tcW w:type="dxa" w:w="3312"/>
            <w:shd w:fill="FFFFFF"/>
            <w:tcMar>
              <w:top w:w="80" w:type="dxa"/>
              <w:bottom w:w="80" w:type="dxa"/>
              <w:left w:w="100" w:type="dxa"/>
              <w:right w:w="100" w:type="dxa"/>
            </w:tcMar>
          </w:tcPr>
          <w:p>
            <w:pPr>
              <w:spacing w:before="0" w:after="0"/>
            </w:pPr>
            <w:r>
              <w:rPr>
                <w:rFonts w:ascii="Calibri" w:hAnsi="Calibri" w:cs="Calibri" w:eastAsia="Calibri"/>
                <w:color w:val="1A1A1A"/>
                <w:sz w:val="20"/>
              </w:rPr>
              <w:t>61% of alerts were false positives. Only 12% of alerts provided verified operational runbook URLs.</w:t>
            </w:r>
          </w:p>
        </w:tc>
      </w:tr>
      <w:tr>
        <w:trPr>
          <w:cantSplit/>
        </w:trPr>
        <w:tc>
          <w:tcPr>
            <w:tcW w:type="dxa" w:w="3312"/>
            <w:shd w:fill="F8FAFC"/>
            <w:tcMar>
              <w:top w:w="80" w:type="dxa"/>
              <w:bottom w:w="80" w:type="dxa"/>
              <w:left w:w="100" w:type="dxa"/>
              <w:right w:w="100" w:type="dxa"/>
            </w:tcMar>
          </w:tcPr>
          <w:p>
            <w:pPr>
              <w:spacing w:before="0" w:after="0"/>
            </w:pPr>
            <w:r>
              <w:rPr>
                <w:rFonts w:ascii="Calibri" w:hAnsi="Calibri" w:cs="Calibri" w:eastAsia="Calibri"/>
                <w:b/>
                <w:color w:val="1A1A1A"/>
                <w:sz w:val="20"/>
              </w:rPr>
              <w:t>EV06 &amp; EV07: SLOs &amp; Dashboard Registry</w:t>
            </w:r>
          </w:p>
        </w:tc>
        <w:tc>
          <w:tcPr>
            <w:tcW w:type="dxa" w:w="3312"/>
            <w:shd w:fill="F8FAFC"/>
            <w:tcMar>
              <w:top w:w="80" w:type="dxa"/>
              <w:bottom w:w="80" w:type="dxa"/>
              <w:left w:w="100" w:type="dxa"/>
              <w:right w:w="100" w:type="dxa"/>
            </w:tcMar>
          </w:tcPr>
          <w:p>
            <w:pPr>
              <w:spacing w:before="0" w:after="0"/>
            </w:pPr>
            <w:r>
              <w:rPr>
                <w:rFonts w:ascii="Calibri" w:hAnsi="Calibri" w:cs="Calibri" w:eastAsia="Calibri"/>
                <w:color w:val="1A1A1A"/>
                <w:sz w:val="20"/>
              </w:rPr>
              <w:t>Datadog Dashboards, CloudWatch Alarms</w:t>
            </w:r>
          </w:p>
        </w:tc>
        <w:tc>
          <w:tcPr>
            <w:tcW w:type="dxa" w:w="3312"/>
            <w:shd w:fill="F8FAFC"/>
            <w:tcMar>
              <w:top w:w="80" w:type="dxa"/>
              <w:bottom w:w="80" w:type="dxa"/>
              <w:left w:w="100" w:type="dxa"/>
              <w:right w:w="100" w:type="dxa"/>
            </w:tcMar>
          </w:tcPr>
          <w:p>
            <w:pPr>
              <w:spacing w:before="0" w:after="0"/>
            </w:pPr>
            <w:r>
              <w:rPr>
                <w:rFonts w:ascii="Calibri" w:hAnsi="Calibri" w:cs="Calibri" w:eastAsia="Calibri"/>
                <w:color w:val="1A1A1A"/>
                <w:sz w:val="20"/>
              </w:rPr>
              <w:t>Zero formal SLOs or error budgets. 58 dashboards audited; 65% unmaintained for over 90 days.</w:t>
            </w:r>
          </w:p>
        </w:tc>
      </w:tr>
      <w:tr>
        <w:trPr>
          <w:cantSplit/>
        </w:trPr>
        <w:tc>
          <w:tcPr>
            <w:tcW w:type="dxa" w:w="3312"/>
            <w:shd w:fill="FFFFFF"/>
            <w:tcMar>
              <w:top w:w="80" w:type="dxa"/>
              <w:bottom w:w="80" w:type="dxa"/>
              <w:left w:w="100" w:type="dxa"/>
              <w:right w:w="100" w:type="dxa"/>
            </w:tcMar>
          </w:tcPr>
          <w:p>
            <w:pPr>
              <w:spacing w:before="0" w:after="0"/>
            </w:pPr>
            <w:r>
              <w:rPr>
                <w:rFonts w:ascii="Calibri" w:hAnsi="Calibri" w:cs="Calibri" w:eastAsia="Calibri"/>
                <w:b/>
                <w:color w:val="1A1A1A"/>
                <w:sz w:val="20"/>
              </w:rPr>
              <w:t>EV09 &amp; EV10: Data Pipelines &amp; Quality Logs</w:t>
            </w:r>
          </w:p>
        </w:tc>
        <w:tc>
          <w:tcPr>
            <w:tcW w:type="dxa" w:w="3312"/>
            <w:shd w:fill="FFFFFF"/>
            <w:tcMar>
              <w:top w:w="80" w:type="dxa"/>
              <w:bottom w:w="80" w:type="dxa"/>
              <w:left w:w="100" w:type="dxa"/>
              <w:right w:w="100" w:type="dxa"/>
            </w:tcMar>
          </w:tcPr>
          <w:p>
            <w:pPr>
              <w:spacing w:before="0" w:after="0"/>
            </w:pPr>
            <w:r>
              <w:rPr>
                <w:rFonts w:ascii="Calibri" w:hAnsi="Calibri" w:cs="Calibri" w:eastAsia="Calibri"/>
                <w:color w:val="1A1A1A"/>
                <w:sz w:val="20"/>
              </w:rPr>
              <w:t>Airflow DAG executions, Glue CloudWatch</w:t>
            </w:r>
          </w:p>
        </w:tc>
        <w:tc>
          <w:tcPr>
            <w:tcW w:type="dxa" w:w="3312"/>
            <w:shd w:fill="FFFFFF"/>
            <w:tcMar>
              <w:top w:w="80" w:type="dxa"/>
              <w:bottom w:w="80" w:type="dxa"/>
              <w:left w:w="100" w:type="dxa"/>
              <w:right w:w="100" w:type="dxa"/>
            </w:tcMar>
          </w:tcPr>
          <w:p>
            <w:pPr>
              <w:spacing w:before="0" w:after="0"/>
            </w:pPr>
            <w:r>
              <w:rPr>
                <w:rFonts w:ascii="Calibri" w:hAnsi="Calibri" w:cs="Calibri" w:eastAsia="Calibri"/>
                <w:color w:val="1A1A1A"/>
                <w:sz w:val="20"/>
              </w:rPr>
              <w:t>18 Airflow batch failures/month. Zero automated schema drift or null-rate detection rules in place.</w:t>
            </w:r>
          </w:p>
        </w:tc>
      </w:tr>
    </w:tbl>
    <w:p>
      <w:pPr>
        <w:keepNext/>
        <w:spacing w:before="280" w:after="80"/>
      </w:pPr>
      <w:r>
        <w:rPr>
          <w:rFonts w:ascii="Calibri" w:hAnsi="Calibri" w:cs="Calibri" w:eastAsia="Calibri"/>
          <w:b/>
          <w:color w:val="1A1A1A"/>
          <w:sz w:val="22"/>
        </w:rPr>
        <w:t>4. Deep-Dive Findings Across Clean Observability Dimensions</w:t>
      </w:r>
    </w:p>
    <w:p>
      <w:pPr>
        <w:spacing w:before="0" w:after="60" w:line="276" w:lineRule="auto"/>
      </w:pPr>
      <w:r>
        <w:rPr>
          <w:rFonts w:ascii="Calibri" w:hAnsi="Calibri" w:cs="Calibri" w:eastAsia="Calibri"/>
          <w:color w:val="1A1A1A"/>
          <w:sz w:val="22"/>
        </w:rPr>
        <w:t>Vithi scored Apex's operations across clean Observability Dimensions (O0–O12), establishing evidence-backed reliability metrics and SRE governance using Vithi's 5-level maturity scale:</w:t>
      </w:r>
    </w:p>
    <w:p>
      <w:pPr>
        <w:keepNext/>
        <w:spacing w:before="200" w:after="60"/>
      </w:pPr>
      <w:r>
        <w:rPr>
          <w:rFonts w:ascii="Calibri" w:hAnsi="Calibri" w:cs="Calibri" w:eastAsia="Calibri"/>
          <w:b/>
          <w:color w:val="1A1A1A"/>
          <w:sz w:val="22"/>
        </w:rPr>
        <w:t>O0: Observability Strategy &amp; Governance (Baseline: 2.00 → Target: 4.13)</w:t>
      </w:r>
    </w:p>
    <w:p>
      <w:pPr>
        <w:spacing w:before="0" w:after="60" w:line="276" w:lineRule="auto"/>
      </w:pPr>
      <w:r>
        <w:rPr>
          <w:rFonts w:ascii="Calibri" w:hAnsi="Calibri" w:cs="Calibri" w:eastAsia="Calibri"/>
          <w:color w:val="1A1A1A"/>
          <w:sz w:val="22"/>
        </w:rPr>
        <w:t xml:space="preserve">Gap: Production releases proceeded without mandatory observability readiness checks. </w:t>
        <w:br/>
        <w:t>Transformation: Created an automated 'Observability Gate' in GitHub Actions CI/CD. Microservices cannot deploy without an active PagerDuty routing rule and verified health endpoints.</w:t>
      </w:r>
    </w:p>
    <w:p>
      <w:pPr>
        <w:keepNext/>
        <w:spacing w:before="200" w:after="60"/>
      </w:pPr>
      <w:r>
        <w:rPr>
          <w:rFonts w:ascii="Calibri" w:hAnsi="Calibri" w:cs="Calibri" w:eastAsia="Calibri"/>
          <w:b/>
          <w:color w:val="1A1A1A"/>
          <w:sz w:val="22"/>
        </w:rPr>
        <w:t>O1 &amp; O2: Telemetry Breadth &amp; Distributed Tracing (Baseline: 2.01 → Target: 4.19)</w:t>
      </w:r>
    </w:p>
    <w:p>
      <w:pPr>
        <w:spacing w:before="0" w:after="60" w:line="276" w:lineRule="auto"/>
      </w:pPr>
      <w:r>
        <w:rPr>
          <w:rFonts w:ascii="Calibri" w:hAnsi="Calibri" w:cs="Calibri" w:eastAsia="Calibri"/>
          <w:color w:val="1A1A1A"/>
          <w:sz w:val="22"/>
        </w:rPr>
        <w:t>Gap: Traces terminated at Kafka message brokers; asynchronous workers ran completely blind.</w:t>
        <w:br/>
        <w:t>Transformation: Standardized on OpenTelemetry SDKs with W3C traceparent context injection into Kafka message headers, achieving 100% end-to-end trace correlation.</w:t>
      </w:r>
    </w:p>
    <w:p>
      <w:pPr>
        <w:keepNext/>
        <w:spacing w:before="200" w:after="60"/>
      </w:pPr>
      <w:r>
        <w:rPr>
          <w:rFonts w:ascii="Calibri" w:hAnsi="Calibri" w:cs="Calibri" w:eastAsia="Calibri"/>
          <w:b/>
          <w:color w:val="1A1A1A"/>
          <w:sz w:val="22"/>
        </w:rPr>
        <w:t>O3: Alert Quality &amp; Routing (Baseline: 1.63 → Target: 4.13)</w:t>
      </w:r>
    </w:p>
    <w:p>
      <w:pPr>
        <w:spacing w:before="0" w:after="60" w:line="276" w:lineRule="auto"/>
      </w:pPr>
      <w:r>
        <w:rPr>
          <w:rFonts w:ascii="Calibri" w:hAnsi="Calibri" w:cs="Calibri" w:eastAsia="Calibri"/>
          <w:color w:val="1A1A1A"/>
          <w:sz w:val="22"/>
        </w:rPr>
        <w:t>Gap: 61% of all PagerDuty alarms were non-actionable false positives (e.g. CPU spikes during backups).</w:t>
        <w:br/>
        <w:t>Transformation: Executed a 30-Day Alert Reset. Silenced static threshold alarms, transitioned to symptom-based alerting, and enforced mandatory runbook URLs across 100% of P1 alerts.</w:t>
      </w:r>
    </w:p>
    <w:p>
      <w:pPr>
        <w:keepNext/>
        <w:spacing w:before="200" w:after="60"/>
      </w:pPr>
      <w:r>
        <w:rPr>
          <w:rFonts w:ascii="Calibri" w:hAnsi="Calibri" w:cs="Calibri" w:eastAsia="Calibri"/>
          <w:b/>
          <w:color w:val="1A1A1A"/>
          <w:sz w:val="22"/>
        </w:rPr>
        <w:t>O4: SLI, SLO &amp; Error Budget Governance (Baseline: 1.25 → Target: 3.88)</w:t>
      </w:r>
    </w:p>
    <w:p/>
    <w:p>
      <w:r>
        <w:rPr>
          <w:rFonts w:ascii="Calibri" w:hAnsi="Calibri" w:cs="Calibri" w:eastAsia="Calibri"/>
          <w:b/>
          <w:color w:val="1A1A1A"/>
          <w:sz w:val="22"/>
        </w:rPr>
        <w:t>O5 &amp; O6: Dashboards, Operational Runbooks &amp; Incident MTTR (Baseline: 2.19 → Target: 4.25)</w:t>
      </w:r>
    </w:p>
    <w:p>
      <w:r>
        <w:rPr>
          <w:rFonts w:ascii="Calibri" w:hAnsi="Calibri" w:cs="Calibri" w:eastAsia="Calibri"/>
          <w:color w:val="1A1A1A"/>
          <w:sz w:val="22"/>
        </w:rPr>
        <w:t>Gap: Severe dashboard sprawl (58 unmaintained boards) forced on-call engineers to manually cross-reference 4 consoles during outages. 88% of alerts lacked verified runbook URLs. Incident resolution depended on manual 6-person war rooms, driving average MTTR to 165 minutes with repeat database pool exhaustion incidents.</w:t>
        <w:br/>
        <w:t>Transformation: Consolidated monitoring into standardized 4 Golden Signals dashboards per Tier-1 service. Mandated verified 1-click runbook URLs in 100% of P1/P2 alert payloads. Deployed distributed trace correlation across Kafka workers and institutionalized blameless continuous RCA loops, reducing MTTR from 165 minutes to 42 minutes (-74%).</w:t>
      </w:r>
    </w:p>
    <w:p>
      <w:pPr>
        <w:spacing w:before="0" w:after="60" w:line="276" w:lineRule="auto"/>
      </w:pPr>
      <w:r>
        <w:rPr>
          <w:rFonts w:ascii="Calibri" w:hAnsi="Calibri" w:cs="Calibri" w:eastAsia="Calibri"/>
          <w:color w:val="1A1A1A"/>
          <w:sz w:val="22"/>
        </w:rPr>
        <w:t>Gap: Zero SLOs existed; reliability discussions were purely opinion-based.</w:t>
        <w:br/>
        <w:t>Transformation: Defined 4 core SLIs (Availability, Latency, Error Rate, Data Freshness) for all Tier-1 services, deploying multi-window burn rate alerts (14.4x 1-hour and 6x 6-hour).</w:t>
      </w:r>
    </w:p>
    <w:p>
      <w:pPr>
        <w:keepNext/>
        <w:spacing w:before="200" w:after="60"/>
      </w:pPr>
      <w:r>
        <w:rPr>
          <w:rFonts w:ascii="Calibri" w:hAnsi="Calibri" w:cs="Calibri" w:eastAsia="Calibri"/>
          <w:b/>
          <w:color w:val="1A1A1A"/>
          <w:sz w:val="22"/>
        </w:rPr>
        <w:t>O7 &amp; O10: Logging Cost Hygiene &amp; Tool Architecture Rationalization (Baseline: 1.73 → Target: 4.02)</w:t>
      </w:r>
    </w:p>
    <w:p>
      <w:pPr>
        <w:spacing w:before="0" w:after="60" w:line="276" w:lineRule="auto"/>
      </w:pPr>
      <w:r>
        <w:rPr>
          <w:rFonts w:ascii="Calibri" w:hAnsi="Calibri" w:cs="Calibri" w:eastAsia="Calibri"/>
          <w:color w:val="1A1A1A"/>
          <w:sz w:val="22"/>
        </w:rPr>
        <w:t>Gap: Dual/triple-logging in Splunk, CloudWatch, and Datadog created severe telemetry bloat and duplicate indexing.</w:t>
        <w:br/>
        <w:t>Transformation: Deployed Vector log routers to strip DEBUG logs at the container edge and decommissioned Splunk for application logs, eliminating redundant processing across 100% of application logs.</w:t>
      </w:r>
    </w:p>
    <w:p>
      <w:pPr>
        <w:keepNext/>
        <w:spacing w:before="200" w:after="60"/>
      </w:pPr>
      <w:r>
        <w:rPr>
          <w:rFonts w:ascii="Calibri" w:hAnsi="Calibri" w:cs="Calibri" w:eastAsia="Calibri"/>
          <w:b/>
          <w:color w:val="1A1A1A"/>
          <w:sz w:val="22"/>
        </w:rPr>
        <w:t>O8: Data Pipeline Observability — Execution &amp; Reliability (Baseline: 1.50 → Target: 4.00)</w:t>
      </w:r>
    </w:p>
    <w:p>
      <w:pPr>
        <w:spacing w:before="0" w:after="60" w:line="276" w:lineRule="auto"/>
      </w:pPr>
      <w:r>
        <w:rPr>
          <w:rFonts w:ascii="Calibri" w:hAnsi="Calibri" w:cs="Calibri" w:eastAsia="Calibri"/>
          <w:color w:val="1A1A1A"/>
          <w:sz w:val="22"/>
        </w:rPr>
        <w:t>Gap: Silent batch ETL delays in Airflow broke executive wealth management reports without warning.</w:t>
        <w:br/>
        <w:t>Transformation: Implemented automated freshness checks and schema validation tests (Great Expectations / Soda) at the ingestion boundary, alerting engineers before data reaches BI reports.</w:t>
      </w:r>
    </w:p>
    <w:p>
      <w:pPr/>
      <w:r>
        <w:rPr>
          <w:rFonts w:ascii="Calibri" w:hAnsi="Calibri" w:cs="Calibri" w:eastAsia="Calibri"/>
          <w:b/>
          <w:color w:val="1A1A1A"/>
          <w:sz w:val="22"/>
        </w:rPr>
        <w:t>O9: Data Product &amp; Business Dashboard Observability (Baseline: 1.67 → Target: 4.17)</w:t>
      </w:r>
    </w:p>
    <w:p>
      <w:pPr/>
      <w:r>
        <w:rPr>
          <w:rFonts w:ascii="Calibri" w:hAnsi="Calibri" w:cs="Calibri" w:eastAsia="Calibri"/>
          <w:color w:val="1A1A1A"/>
          <w:sz w:val="22"/>
        </w:rPr>
        <w:t>Gap: Freshness validation was completely absent across all gold reporting tables. Schema drift in the upstream transactional database silently broke the Wealth Management Daily P&amp;L report for 40 executive advisors, creating compliance risk.</w:t>
        <w:br/>
        <w:t>Transformation: Deployed automated freshness SLI monitors on all gold-layer Airflow DAG outputs (maximum allowable data age = 6 hours for financial reporting tables). Implemented Great Expectations schema drift detection gates at ingestion boundaries. Executive BI dashboards now display real-time staleness warnings when upstream pipelines exceed their SLA windows — eliminating stale data views.</w:t>
      </w:r>
    </w:p>
    <w:p>
      <w:pPr/>
      <w:r>
        <w:rPr>
          <w:rFonts w:ascii="Calibri" w:hAnsi="Calibri" w:cs="Calibri" w:eastAsia="Calibri"/>
          <w:b/>
          <w:color w:val="1A1A1A"/>
          <w:sz w:val="22"/>
        </w:rPr>
        <w:t>O11: AI / GenAI &amp; LLM Observability Extension (Baseline: 1.25 → Target: 4.00)</w:t>
      </w:r>
    </w:p>
    <w:p>
      <w:pPr/>
      <w:r>
        <w:rPr>
          <w:rFonts w:ascii="Calibri" w:hAnsi="Calibri" w:cs="Calibri" w:eastAsia="Calibri"/>
          <w:color w:val="1A1A1A"/>
          <w:sz w:val="22"/>
        </w:rPr>
        <w:t>Gap: The Apex Bedrock-powered customer service chatbot was deployed without any observability. Prompt token consumption, inference latency, per-tenant cost attribution, and RAG retrieval accuracy were completely unmeasured — creating invisible AI spend risk and compliance exposure.</w:t>
        <w:br/>
        <w:t>Transformation: Integrated OpenLIT SDK to instrument all Bedrock model invocations. Enabled Amazon Bedrock Model Invocation Logs with CloudWatch delivery for token-level cost attribution per squad. Deployed vector search latency monitoring on Amazon OpenSearch Serverless with automated alerting when similarity scores drop below acceptable thresholds.</w:t>
      </w:r>
    </w:p>
    <w:p>
      <w:pPr/>
      <w:r>
        <w:rPr>
          <w:rFonts w:ascii="Calibri" w:hAnsi="Calibri" w:cs="Calibri" w:eastAsia="Calibri"/>
          <w:color w:val="1A1A1A"/>
          <w:sz w:val="22"/>
        </w:rPr>
        <w:t>O12: Carbon &amp; Sustainability Observability (Reserved — Modular): AWS Customer Carbon Footprint Tool data was identified as a Phase 3 integration opportunity. Compute rightsizing recommendations from AWS Compute Optimizer were flagged for review in the Year-2 operational planning cycle.</w:t>
      </w:r>
    </w:p>
    <w:p>
      <w:pPr>
        <w:keepNext/>
        <w:spacing w:before="280" w:after="80"/>
      </w:pPr>
      <w:r>
        <w:rPr>
          <w:rFonts w:ascii="Calibri" w:hAnsi="Calibri" w:cs="Calibri" w:eastAsia="Calibri"/>
          <w:b/>
          <w:color w:val="1A1A1A"/>
          <w:sz w:val="22"/>
        </w:rPr>
        <w:t>5. The 90-Day Transformation Execution</w:t>
      </w:r>
    </w:p>
    <w:p>
      <w:pPr>
        <w:spacing w:before="0" w:after="60" w:line="276" w:lineRule="auto"/>
      </w:pPr>
      <w:r>
        <w:rPr>
          <w:rFonts w:ascii="Calibri" w:hAnsi="Calibri" w:cs="Calibri" w:eastAsia="Calibri"/>
          <w:color w:val="1A1A1A"/>
          <w:sz w:val="22"/>
        </w:rPr>
        <w:t>The transformation was executed in 3 tightly managed 30-day sprints:</w:t>
      </w:r>
    </w:p>
    <w:p>
      <w:pPr>
        <w:pStyle w:val="ListBullet"/>
        <w:spacing w:before="0" w:after="40" w:line="276" w:lineRule="auto"/>
      </w:pPr>
      <w:r>
        <w:rPr>
          <w:rFonts w:ascii="Calibri" w:hAnsi="Calibri" w:cs="Calibri" w:eastAsia="Calibri"/>
          <w:b/>
          <w:color w:val="1A1A1A"/>
          <w:sz w:val="22"/>
        </w:rPr>
        <w:t xml:space="preserve">Horizon 1 (Days 0–30: Triage &amp; Quick Wins): </w:t>
      </w:r>
      <w:r>
        <w:rPr>
          <w:rFonts w:ascii="Calibri" w:hAnsi="Calibri" w:cs="Calibri" w:eastAsia="Calibri"/>
          <w:color w:val="1A1A1A"/>
          <w:sz w:val="22"/>
        </w:rPr>
        <w:t>Silenced top-20 noisy alarms; mandated runbook URLs in all P1 alerts; deployed Vector edge filter to strip DEBUG logs.</w:t>
      </w:r>
    </w:p>
    <w:p>
      <w:pPr>
        <w:pStyle w:val="ListBullet"/>
        <w:spacing w:before="0" w:after="40" w:line="276" w:lineRule="auto"/>
      </w:pPr>
      <w:r>
        <w:rPr>
          <w:rFonts w:ascii="Calibri" w:hAnsi="Calibri" w:cs="Calibri" w:eastAsia="Calibri"/>
          <w:b/>
          <w:color w:val="1A1A1A"/>
          <w:sz w:val="22"/>
        </w:rPr>
        <w:t xml:space="preserve">Horizon 2 (Days 31–60: Standardize &amp; Align): </w:t>
      </w:r>
      <w:r>
        <w:rPr>
          <w:rFonts w:ascii="Calibri" w:hAnsi="Calibri" w:cs="Calibri" w:eastAsia="Calibri"/>
          <w:color w:val="1A1A1A"/>
          <w:sz w:val="22"/>
        </w:rPr>
        <w:t>Rolled out OpenTelemetry SDKs across 42 services; injected W3C trace headers into Kafka; established Tier-1 SLO burn-rate alerts.</w:t>
      </w:r>
    </w:p>
    <w:p>
      <w:pPr>
        <w:pStyle w:val="ListBullet"/>
        <w:spacing w:before="0" w:after="40" w:line="276" w:lineRule="auto"/>
      </w:pPr>
      <w:r>
        <w:rPr>
          <w:rFonts w:ascii="Calibri" w:hAnsi="Calibri" w:cs="Calibri" w:eastAsia="Calibri"/>
          <w:b/>
          <w:color w:val="1A1A1A"/>
          <w:sz w:val="22"/>
        </w:rPr>
        <w:t xml:space="preserve">Horizon 3 (Days 61–90: FinOps &amp; Scale): </w:t>
      </w:r>
      <w:r>
        <w:rPr>
          <w:rFonts w:ascii="Calibri" w:hAnsi="Calibri" w:cs="Calibri" w:eastAsia="Calibri"/>
          <w:color w:val="1A1A1A"/>
          <w:sz w:val="22"/>
        </w:rPr>
        <w:t>Automated data pipeline freshness checks; retired Splunk application log ingestion; built Executive Reliability Dashboard.</w:t>
      </w:r>
    </w:p>
    <w:p>
      <w:pPr>
        <w:keepNext/>
        <w:spacing w:before="280" w:after="80"/>
      </w:pPr>
      <w:r>
        <w:rPr>
          <w:rFonts w:ascii="Calibri" w:hAnsi="Calibri" w:cs="Calibri" w:eastAsia="Calibri"/>
          <w:b/>
          <w:color w:val="1A1A1A"/>
          <w:sz w:val="22"/>
        </w:rPr>
        <w:t>6. Quantified Operational &amp; Engineering Value Realization (Historical Engagement Reference)</w:t>
      </w:r>
    </w:p>
    <w:p>
      <w:pPr>
        <w:spacing w:before="0" w:after="60" w:line="276" w:lineRule="auto"/>
      </w:pPr>
      <w:r>
        <w:rPr>
          <w:rFonts w:ascii="Calibri" w:hAnsi="Calibri" w:cs="Calibri" w:eastAsia="Calibri"/>
          <w:color w:val="1A1A1A"/>
          <w:sz w:val="22"/>
        </w:rPr>
        <w:t>Over a 12-month operating window, the transformation generated substantial, verified improvements across operational efficiency and team capacity for Apex Digital Banking. For prospective clients, these metrics provide an illustrative model of operational opportunities, with final realization targets customer-baseline-dependent and agreed post-diagnostic:</w:t>
      </w:r>
    </w:p>
    <w:p>
      <w:pPr>
        <w:pStyle w:val="ListBullet"/>
        <w:spacing w:before="0" w:after="40" w:line="276" w:lineRule="auto"/>
      </w:pPr>
      <w:r>
        <w:rPr>
          <w:rFonts w:ascii="Calibri" w:hAnsi="Calibri" w:cs="Calibri" w:eastAsia="Calibri"/>
          <w:color w:val="1A1A1A"/>
          <w:sz w:val="22"/>
        </w:rPr>
        <w:t>• Telemetry Ingestion Efficiency: 25% Overhead Reduction — Deployed edge filtering and eliminated duplicate application indexing, streamlining telemetry pipelines (modeled target: 20–25% reduction).</w:t>
      </w:r>
    </w:p>
    <w:p>
      <w:pPr>
        <w:pStyle w:val="ListBullet"/>
        <w:spacing w:before="0" w:after="40" w:line="276" w:lineRule="auto"/>
      </w:pPr>
      <w:r>
        <w:rPr>
          <w:rFonts w:ascii="Calibri" w:hAnsi="Calibri" w:cs="Calibri" w:eastAsia="Calibri"/>
          <w:color w:val="1A1A1A"/>
          <w:sz w:val="22"/>
        </w:rPr>
      </w:r>
      <w:r>
        <w:rPr>
          <w:rFonts w:ascii="Calibri" w:hAnsi="Calibri" w:cs="Calibri" w:eastAsia="Calibri"/>
          <w:b/>
          <w:color w:val="1A1A1A"/>
          <w:sz w:val="22"/>
        </w:rPr>
        <w:t xml:space="preserve">• Engineering Capacity Recovery: 380 Hours / Month Reclaimed — </w:t>
      </w:r>
      <w:r>
        <w:rPr>
          <w:rFonts w:ascii="Calibri" w:hAnsi="Calibri" w:cs="Calibri" w:eastAsia="Calibri"/>
          <w:color w:val="1A1A1A"/>
          <w:sz w:val="22"/>
        </w:rPr>
        <w:t>Dropping monthly alerts from 32,400 to 5,800 saved 380 engineering hours/month previously lost to alert triage (illustrative opportunity; customer-baseline-dependent).</w:t>
      </w:r>
    </w:p>
    <w:p>
      <w:pPr>
        <w:pStyle w:val="ListBullet"/>
        <w:spacing w:before="0" w:after="40" w:line="276" w:lineRule="auto"/>
      </w:pPr>
      <w:r>
        <w:rPr>
          <w:rFonts w:ascii="Calibri" w:hAnsi="Calibri" w:cs="Calibri" w:eastAsia="Calibri"/>
          <w:color w:val="1A1A1A"/>
          <w:sz w:val="22"/>
        </w:rPr>
      </w:r>
      <w:r>
        <w:rPr>
          <w:rFonts w:ascii="Calibri" w:hAnsi="Calibri" w:cs="Calibri" w:eastAsia="Calibri"/>
          <w:b/>
          <w:color w:val="1A1A1A"/>
          <w:sz w:val="22"/>
        </w:rPr>
        <w:t xml:space="preserve">• Incident Resolution Speed: 74% MTTR Reduction — </w:t>
      </w:r>
      <w:r>
        <w:rPr>
          <w:rFonts w:ascii="Calibri" w:hAnsi="Calibri" w:cs="Calibri" w:eastAsia="Calibri"/>
          <w:color w:val="1A1A1A"/>
          <w:sz w:val="22"/>
        </w:rPr>
        <w:t>Cutting MTTR from 165 min to 42 min (74% reduction) prevented an estimated 8 customer-impacting outages (modeled target agreed post-diagnostic).</w:t>
      </w:r>
    </w:p>
    <w:p>
      <w:pPr>
        <w:pStyle w:val="ListBullet"/>
        <w:spacing w:before="0" w:after="40" w:line="276" w:lineRule="auto"/>
      </w:pPr>
      <w:r>
        <w:rPr>
          <w:rFonts w:ascii="Calibri" w:hAnsi="Calibri" w:cs="Calibri" w:eastAsia="Calibri"/>
          <w:b/>
          <w:color w:val="1A1A1A"/>
          <w:sz w:val="22"/>
        </w:rPr>
        <w:t>• Data Pipeline Reliability: 85% Triage Effort Reduction — Automated freshness SLIs (O8) and schema drift gates (O9) eliminated manual SQL firefighting, cut data triage effort by 85%, and eliminated stale executive reporting incidents.</w:t>
      </w:r>
      <w:r>
        <w:rPr>
          <w:rFonts w:ascii="Calibri" w:hAnsi="Calibri" w:cs="Calibri" w:eastAsia="Calibri"/>
          <w:color w:val="1A1A1A"/>
          <w:sz w:val="22"/>
        </w:rPr>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r>
              <w:rPr>
                <w:rFonts w:ascii="Calibri" w:hAnsi="Calibri" w:cs="Calibri" w:eastAsia="Calibri"/>
                <w:color w:val="1A1A1A"/>
                <w:sz w:val="20"/>
              </w:rPr>
              <w:t>MEASUREMENT INTEGRITY &amp; METHODOLOGY CAVEAT</w:t>
              <w:br/>
              <w:t>ENGAGEMENT METHODOLOGY &amp; BLUEPRINT CAVEAT: Baseline metrics and modeled outcomes in this illustrative value blueprint reflect sanitized production data from the Apex reference engagement. Projected outcomes, efficiency gains, and capacity reclamation metrics for prospective client environments represent modeled opportunities and illustrative targets. Final commitments are customer-baseline-dependent and formally agreed after the diagnostic.</w:t>
            </w:r>
          </w:p>
        </w:tc>
      </w:tr>
    </w:tbl>
    <w:p>
      <w:pPr>
        <w:spacing w:after="6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AWS Observability Value Blueprint | Sanitized Enterprise Study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AWS OBSERVABILITY &amp; SRE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