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/>
          <w:color w:val="1A1A1A"/>
          <w:sz w:val="22"/>
        </w:rPr>
        <w:t>VITHI OBSERVABILITY FRAMEWORK — CLOUD-SPECIFIC ANNEXURE 2</w:t>
      </w:r>
    </w:p>
    <w:p>
      <w:r>
        <w:rPr>
          <w:rFonts w:ascii="Calibri" w:hAnsi="Calibri" w:cs="Calibri" w:eastAsia="Calibri"/>
          <w:b/>
          <w:color w:val="1A1A1A"/>
          <w:sz w:val="22"/>
        </w:rPr>
        <w:t>Azure Evidence &amp; Architecture Appendix</w:t>
      </w:r>
    </w:p>
    <w:p>
      <w:r>
        <w:rPr>
          <w:rFonts w:ascii="Calibri" w:hAnsi="Calibri" w:cs="Calibri" w:eastAsia="Calibri"/>
          <w:i/>
          <w:color w:val="1A1A1A"/>
          <w:sz w:val="22"/>
        </w:rPr>
        <w:t>Audit Guidance, Telemetry Sources, and Evidence Mapping for Microsoft Azure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BEAFE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AZURE CLOUD EVIDENCE SCOPE</w:t>
              <w:br/>
            </w:r>
            <w:r>
              <w:rPr>
                <w:rFonts w:ascii="Calibri" w:hAnsi="Calibri" w:cs="Calibri" w:eastAsia="Calibri"/>
                <w:color w:val="1A1A1A"/>
                <w:sz w:val="20"/>
              </w:rPr>
              <w:t>ANNEXURE PURPOSE: This appendix details the concrete Microsoft Azure evidence artifacts, Log Analytics workspaces, Application Insights telemetry, and audit sources required to evaluate an Azure enterprise environment.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1. Azure Platform Evidence Mapping (EV01–EV12)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Platform-neutral evidence artifacts mapped directly to native Microsoft Azure monitoring and management services: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Evidence ID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Universal Evidence Artifact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Platform-Specific Telemetry Sources &amp; Audit Scope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Service Catalog &amp; Estate Profile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Azure Resource Graph queries, Management Groups / Subscription inventory, Azure Service Health.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Telemetry &amp; Topology Map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Application Insights Application Map, Azure Monitor OpenTelemetry Distro, Network Watcher topology.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Logs, Metrics &amp; Traces Ingestion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Azure Monitor Metrics, Log Analytics workspaces (KQL tables), App Insights standard &amp; custom availability tests.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Alert Inventory &amp; 90-Day Pager History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Azure Monitor Alert Rules, Action Groups, Common Alert Schema logs, Smart Detection alert records.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SLI/SLO Register &amp; Error Budgets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Azure Monitor Workbooks (SLO tracking templates), Grafana Azure Monitor Data Source SLO dashboards.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Incident Register &amp; MTTR Records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Azure Monitor alerts history, ServiceNow ITOM Azure Connector, Azure DevOps Boards incident work items.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RCA &amp; Post-Incident Reviews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Azure DevOps PIR wiki pages, post-incident work items, Confluence / ServiceNow KEDB records.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EV08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Dashboard Inventory &amp; Usage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Azure Dashboards, Azure Monitor Workbooks, Azure Managed Grafana instances and dashboard usage.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EV09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Runbook &amp; Standard SOP Library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Azure Automation Runbooks (PowerShell/Python), Azure Logic Apps automated remediation workflows.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EV10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Telemetry Billing &amp; FinOps Costs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Azure Cost Management + Billing exports, Log Analytics ingestion volume (GB/day), commitment tiers.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EV11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Data Pipeline Observability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Azure Data Factory (ADF) pipeline run monitoring, Azure Synapse analytics logs, Databricks job metrics.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EV12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AI, LLM &amp; RAG Observability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Azure OpenAI Service latency &amp; token consumption, Azure AI Search vector retrieval latency, prompt safety logs.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2. Key Azure Architecture Deep Dives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AKS &amp; App Services: </w:t>
      </w:r>
      <w:r>
        <w:rPr>
          <w:rFonts w:ascii="Calibri" w:hAnsi="Calibri" w:cs="Calibri" w:eastAsia="Calibri"/>
          <w:color w:val="1A1A1A"/>
          <w:sz w:val="22"/>
        </w:rPr>
        <w:t>Audit Azure Kubernetes Service (AKS) Container Insights, Log Analytics KQL ingestion rates, and Application Gateway access logs.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Data &amp; Analytics Flows: </w:t>
      </w:r>
      <w:r>
        <w:rPr>
          <w:rFonts w:ascii="Calibri" w:hAnsi="Calibri" w:cs="Calibri" w:eastAsia="Calibri"/>
          <w:color w:val="1A1A1A"/>
          <w:sz w:val="22"/>
        </w:rPr>
        <w:t>Evaluate Azure Data Factory pipeline execution failure alerts, Azure Event Hubs partition lag, and Synapse SQL query performance.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Ingestion FinOps: </w:t>
      </w:r>
      <w:r>
        <w:rPr>
          <w:rFonts w:ascii="Calibri" w:hAnsi="Calibri" w:cs="Calibri" w:eastAsia="Calibri"/>
          <w:color w:val="1A1A1A"/>
          <w:sz w:val="22"/>
        </w:rPr>
        <w:t>Inspect Log Analytics workspace daily caps, data retention policies (30d to 730d), and commitment tier cost optimizations.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Critical Service &amp; Data Observability Readiness Assessment | Azure Ecosystem Annexure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AZURE EVIDENCE APPENDIX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