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cs="Calibri" w:eastAsia="Calibri"/>
          <w:b/>
          <w:color w:val="1A1A1A"/>
          <w:sz w:val="22"/>
        </w:rPr>
        <w:t>VITHI OBSERVABILITY FRAMEWORK — CLOUD-SPECIFIC ANNEXURE 3</w:t>
      </w:r>
    </w:p>
    <w:p>
      <w:r>
        <w:rPr>
          <w:rFonts w:ascii="Calibri" w:hAnsi="Calibri" w:cs="Calibri" w:eastAsia="Calibri"/>
          <w:b/>
          <w:color w:val="1A1A1A"/>
          <w:sz w:val="22"/>
        </w:rPr>
        <w:t>Google Cloud Platform (GCP) Evidence Appendix</w:t>
      </w:r>
    </w:p>
    <w:p>
      <w:r>
        <w:rPr>
          <w:rFonts w:ascii="Calibri" w:hAnsi="Calibri" w:cs="Calibri" w:eastAsia="Calibri"/>
          <w:i/>
          <w:color w:val="1A1A1A"/>
          <w:sz w:val="22"/>
        </w:rPr>
        <w:t>Audit Guidance, Telemetry Sources, and Evidence Mapping for Google Cloud Platform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DBEAFE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GCP CLOUD EVIDENCE SCOPE</w:t>
              <w:br/>
            </w:r>
            <w:r>
              <w:rPr>
                <w:rFonts w:ascii="Calibri" w:hAnsi="Calibri" w:cs="Calibri" w:eastAsia="Calibri"/>
                <w:color w:val="1A1A1A"/>
                <w:sz w:val="20"/>
              </w:rPr>
              <w:t>ANNEXURE PURPOSE: This appendix details the concrete Google Cloud Platform evidence artifacts, Cloud Monitoring, Cloud Logging, and Cloud Trace telemetry sources required to evaluate a GCP enterprise deployment.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1. GCP Platform Evidence Mapping (EV01–EV12)</w:t>
      </w:r>
    </w:p>
    <w:p>
      <w:pPr>
        <w:spacing w:before="0" w:after="60" w:line="276" w:lineRule="auto"/>
      </w:pPr>
      <w:r>
        <w:rPr>
          <w:rFonts w:ascii="Calibri" w:hAnsi="Calibri" w:cs="Calibri" w:eastAsia="Calibri"/>
          <w:color w:val="1A1A1A"/>
          <w:sz w:val="22"/>
        </w:rPr>
        <w:t>Platform-neutral evidence artifacts mapped directly to native Google Cloud monitoring and governance services: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Evidence ID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Universal Evidence Artifact</w:t>
            </w:r>
          </w:p>
        </w:tc>
        <w:tc>
          <w:tcPr>
            <w:tcW w:type="dxa" w:w="3312"/>
            <w:shd w:fill="33415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Platform-Specific Telemetry Sources &amp; Audit Scope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Service Catalog &amp; Estate Profile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Cloud Asset Inventory, Resource Manager folders/projects, Service Directory.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Telemetry &amp; Topology Map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Cloud Trace waterfalls, Cloud Service Mesh (Traffic Director) telemetry, OpenTelemetry OTLP exporters.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EV03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Logs, Metrics &amp; Traces Ingestion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Cloud Monitoring (MQL metrics), Cloud Logging (Log Router), Cloud Monitoring Uptime Checks.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EV04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Alert Inventory &amp; 90-Day Pager History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Cloud Monitoring Alerting Policies, Notification Channels, Incident Summaries, Eventarc triggers.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EV05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SLI/SLO Register &amp; Error Budgets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Cloud Monitoring Service Level Objectives (SLOs), multi-window burn rate alert policies.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EV06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Incident Register &amp; MTTR Records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Cloud Incident summaries, Cloud Error Reporting, PagerDuty / Jira Cloud integration tickets.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EV07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RCA &amp; Post-Incident Reviews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Google Workspace / Confluence post-mortem spaces, incident timeline audit logs.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EV08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Dashboard Inventory &amp; Usage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Cloud Monitoring Dashboards, Google Cloud Managed Service for Prometheus + Grafana.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EV09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Runbook &amp; Standard SOP Library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Cloud Workflows, Cloud Run / Cloud Functions automated incident remediation scripts.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EV10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Telemetry Billing &amp; FinOps Costs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Cloud Billing BigQuery export, Cloud Logging Log Router exclusion filters, Cloud Storage retention.</w:t>
            </w:r>
          </w:p>
        </w:tc>
      </w:tr>
      <w:tr>
        <w:trPr>
          <w:cantSplit/>
        </w:trPr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EV11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Data Pipeline Observability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Cloud Composer (Airflow) DAG execution logs, BigQuery Information Schema query audits, Dataproc metrics.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EV12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color w:val="1A1A1A"/>
                <w:sz w:val="20"/>
              </w:rPr>
              <w:t>AI, LLM &amp; RAG Observability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color w:val="1A1A1A"/>
                <w:sz w:val="20"/>
              </w:rPr>
              <w:t>Vertex AI Model Monitoring (drift/skew), Vertex AI Vector Search latency, Gemini API audit logs.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Calibri" w:hAnsi="Calibri" w:cs="Calibri" w:eastAsia="Calibri"/>
          <w:b/>
          <w:color w:val="1A1A1A"/>
          <w:sz w:val="22"/>
        </w:rPr>
        <w:t>2. Key GCP Architecture Deep Dives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GKE &amp; Compute Engine: </w:t>
      </w:r>
      <w:r>
        <w:rPr>
          <w:rFonts w:ascii="Calibri" w:hAnsi="Calibri" w:cs="Calibri" w:eastAsia="Calibri"/>
          <w:color w:val="1A1A1A"/>
          <w:sz w:val="22"/>
        </w:rPr>
        <w:t>Audit Google Kubernetes Engine (GKE) clusters, GKE workload metrics, and Managed Service for Prometheus scraping configs.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Data &amp; BigQuery Flows: </w:t>
      </w:r>
      <w:r>
        <w:rPr>
          <w:rFonts w:ascii="Calibri" w:hAnsi="Calibri" w:cs="Calibri" w:eastAsia="Calibri"/>
          <w:color w:val="1A1A1A"/>
          <w:sz w:val="22"/>
        </w:rPr>
        <w:t>Examine Cloud Composer scheduler latency, BigQuery slot allocation, Pub/Sub subscription backlog, and Dataflow pipeline health.</w:t>
      </w:r>
    </w:p>
    <w:p>
      <w:pPr>
        <w:pStyle w:val="ListBullet"/>
        <w:spacing w:before="0" w:after="40" w:line="276" w:lineRule="auto"/>
      </w:pPr>
      <w:r>
        <w:rPr>
          <w:rFonts w:ascii="Calibri" w:hAnsi="Calibri" w:cs="Calibri" w:eastAsia="Calibri"/>
          <w:b/>
          <w:color w:val="1A1A1A"/>
          <w:sz w:val="22"/>
        </w:rPr>
        <w:t xml:space="preserve">• Ingestion FinOps: </w:t>
      </w:r>
      <w:r>
        <w:rPr>
          <w:rFonts w:ascii="Calibri" w:hAnsi="Calibri" w:cs="Calibri" w:eastAsia="Calibri"/>
          <w:color w:val="1A1A1A"/>
          <w:sz w:val="22"/>
        </w:rPr>
        <w:t>Review Cloud Logging Log Router sinks, exclusion percentages, and BigQuery billing exports for unmanaged logging spend.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64748B"/>
        <w:sz w:val="17"/>
      </w:rPr>
      <w:t>Critical Service &amp; Data Observability Readiness Assessment | GCP Ecosystem Annexure | v2.0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64748B"/>
        <w:sz w:val="17"/>
      </w:rPr>
      <w:t>VITHI IT SOLUTIONS | GCP EVIDENCE APPENDIX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