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color w:val="1A1A1A"/>
          <w:sz w:val="22"/>
        </w:rPr>
        <w:t>VITHI OBSERVABILITY FRAMEWORK — CLOUD-SPECIFIC ANNEXURE 5</w:t>
      </w:r>
    </w:p>
    <w:p>
      <w:r>
        <w:rPr>
          <w:rFonts w:ascii="Calibri" w:hAnsi="Calibri" w:cs="Calibri" w:eastAsia="Calibri"/>
          <w:b/>
          <w:color w:val="1A1A1A"/>
          <w:sz w:val="22"/>
        </w:rPr>
        <w:t>Commercial Tool Vendors Evidence &amp; Rationalization Appendix</w:t>
      </w:r>
    </w:p>
    <w:p>
      <w:r>
        <w:rPr>
          <w:rFonts w:ascii="Calibri" w:hAnsi="Calibri" w:cs="Calibri" w:eastAsia="Calibri"/>
          <w:i/>
          <w:color w:val="1A1A1A"/>
          <w:sz w:val="22"/>
        </w:rPr>
        <w:t>Audit Guidance, Evidence Mapping, and License Optimization for Datadog, Dynatrace, New Relic, Splunk &amp; Data Observability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COMMERCIAL TOOL VENDOR EVIDENCE SCOPE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ANNEXURE PURPOSE: This appendix details how to audit commercial observability platforms (Datadog, Dynatrace, New Relic, Splunk, Monte Carlo, Bigeye), evaluate feature utilization, identify multi-tool overlap, and optimize SaaS spend.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1. Commercial Tool Vendor Evidence Mapping (EV01–EV12)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Platform-neutral evidence artifacts mapped directly to enterprise commercial observability tools: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Service Catalog, Dynatrace Smartscape entity registry, New Relic Entity Explorer.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APM Service Maps, Dynatrace PurePath 4 distributed tracing, New Relic Distributed Tracing.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Agent metrics/logs, Dynatrace OneAgent telemetry, New Relic Infrastructure, Synthetic tests.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Monitors &amp; Anomaly Detection, Dynatrace Davis AI root-cause engine, PagerDuty / Opsgenie rules.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SLOs &amp; Error Budgets, Dynatrace Service-Level Objectives, New Relic Service Levels.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Incident Management, PagerDuty analytics, ServiceNow ITOM / Jira Service Management integration.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Vendor post-mortem integrations, Jira tickets linked to Dynatrace root cause / Datadog incidents.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Dashboards, Dynatrace Dashboards, New Relic Workbooks, Grafana Cloud dashboard audits.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Notebooks, Dynatrace Runbooks, ServiceNow Knowledge Base links embedded in alerts.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Usage Attribution, Dynatrace DDU consumption, New Relic Data Ingest reports, Splunk ingest quotas.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Monte Carlo data health dashboards, Bigeye data quality alerts, Acceldata pipeline metrics, dbt Cloud.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Datadog LLM Observability, Dynatrace AI Observability, New Relic AI Monitoring, prompt/cost dashboards.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2. Vendor Rationalization &amp; Licensing Optimization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Overlap Analysis: </w:t>
      </w:r>
      <w:r>
        <w:rPr>
          <w:rFonts w:ascii="Calibri" w:hAnsi="Calibri" w:cs="Calibri" w:eastAsia="Calibri"/>
          <w:color w:val="1A1A1A"/>
          <w:sz w:val="22"/>
        </w:rPr>
        <w:t>Identify functional redundancy (e.g. paying for APM in Datadog while logging in Splunk and running traces in AWS X-Ray).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SaaS Cost Reduction: </w:t>
      </w:r>
      <w:r>
        <w:rPr>
          <w:rFonts w:ascii="Calibri" w:hAnsi="Calibri" w:cs="Calibri" w:eastAsia="Calibri"/>
          <w:color w:val="1A1A1A"/>
          <w:sz w:val="22"/>
        </w:rPr>
        <w:t>Implement tail-based sampling, drop non-production DEBUG logs at the collector, and negotiate volume commitment tiers.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Open Standards Transition: </w:t>
      </w:r>
      <w:r>
        <w:rPr>
          <w:rFonts w:ascii="Calibri" w:hAnsi="Calibri" w:cs="Calibri" w:eastAsia="Calibri"/>
          <w:color w:val="1A1A1A"/>
          <w:sz w:val="22"/>
        </w:rPr>
        <w:t>Standardize on OpenTelemetry (OTel) instrumentation SDKs to avoid proprietary agent lock-in and enable seamless vendor switching.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Commercial Tool Vendors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TOOL VENDORS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