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cs="Calibri" w:eastAsia="Calibri"/>
          <w:b/>
          <w:color w:val="1A1A1A"/>
          <w:sz w:val="22"/>
        </w:rPr>
        <w:t>VITHI CONSULTING CLIENT CASE STUDY — REGULATED HYBRID ENTERPRISE</w:t>
      </w:r>
    </w:p>
    <w:p>
      <w:pPr>
        <w:spacing w:before="0" w:after="40"/>
      </w:pPr>
      <w:r>
        <w:rPr>
          <w:rFonts w:ascii="Calibri" w:hAnsi="Calibri" w:cs="Calibri" w:eastAsia="Calibri"/>
          <w:b/>
          <w:color w:val="1A1A1A"/>
          <w:sz w:val="22"/>
        </w:rPr>
        <w:t>Cloud &amp; Hybrid Observability Value Blueprint</w:t>
      </w:r>
    </w:p>
    <w:p>
      <w:pPr>
        <w:spacing w:before="0" w:after="160"/>
      </w:pPr>
      <w:r>
        <w:rPr>
          <w:rFonts w:ascii="Calibri" w:hAnsi="Calibri" w:cs="Calibri" w:eastAsia="Calibri"/>
          <w:i/>
          <w:color w:val="1A1A1A"/>
          <w:sz w:val="22"/>
        </w:rPr>
        <w:t>A Regulated Enterprise Operating Customer-Facing Applications, Data Pipelines, and Analytics Workloads Across Cloud and Hybrid Infrastructure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EXECUTIVE ENGAGEMENT CONTEXT</w:t>
              <w:br/>
            </w:r>
            <w:r>
              <w:rPr>
                <w:rFonts w:ascii="Calibri" w:hAnsi="Calibri" w:cs="Calibri" w:eastAsia="Calibri"/>
                <w:color w:val="1A1A1A"/>
                <w:sz w:val="20"/>
              </w:rPr>
              <w:t>CLIENT PROFILE: Global Regulated Financial &amp; Clearing Services Corp. (Sanitized Case Study)</w:t>
              <w:br/>
              <w:t>PRIMARY ESTATE: Hybrid Multi-Cloud (AWS EKS, Azure App Services, On-Premises VMware, 65 Microservices)</w:t>
              <w:br/>
              <w:t>DATA &amp; AI PLATFORM: Hybrid Data Platform (Snowflake, Databricks, Apache Kafka, Apache Airflow, Vector RAG)</w:t>
              <w:br/>
              <w:t>EXECUTIVE SPONSORS: Global Head of Infrastructure &amp; SRE | VP of Enterprise Data &amp; Analytics</w:t>
              <w:br/>
              <w:t>ASSESSMENT BASELINE: Maturity Level 2.15 / 5.0 (Defined / Siloed)  →  ACHIEVED: Maturity Level 3.90 / 5.0 (SRE-Driven)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1. Executive Summary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color w:val="1A1A1A"/>
          <w:sz w:val="22"/>
        </w:rPr>
        <w:t>The client operates a mission-critical financial transaction processing platform handling over 45 million transactions daily. Over three years of multi-cloud expansion, their observability posture fractured into isolated silos: Datadog monitored cloud containers, Splunk aggregated security logs, Azure Monitor covered regional endpoints, and on-premises mainframes ran on legacy scripts. When a cascading network timeout disrupted daily transaction clearing, engineers spent 140 minutes in a 25-person war room just determining whether the issue was in AWS, Azure, or the on-prem ledger.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color w:val="1A1A1A"/>
          <w:sz w:val="22"/>
        </w:rPr>
        <w:t>Vithi was engaged to execute a focused two-week evidence sprint across critical transaction services and data pipelines, followed by an actionable 90-day implementation sprint. By establishing universal OpenTelemetry standards, 30-day alert noise reduction, and automated data freshness checks across dimensions O0 through O10, Vithi helped the enterprise cut MTTR by 72%, eliminate 84% of alert noise, and reclaim 420+ engineering hours per month previously lost to manual triage.</w:t>
      </w:r>
    </w:p>
    <w:p>
      <w:pPr>
        <w:keepNext/>
        <w:spacing w:before="200" w:after="60"/>
      </w:pPr>
      <w:r>
        <w:rPr>
          <w:rFonts w:ascii="Calibri" w:hAnsi="Calibri" w:cs="Calibri" w:eastAsia="Calibri"/>
          <w:b/>
          <w:color w:val="1A1A1A"/>
          <w:sz w:val="22"/>
        </w:rPr>
        <w:t>Executive Operational Trajectory (Before vs After Implementation):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Operational Key Performance Indicator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Pre-Assessment Baseline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Post-Transformation State</w:t>
            </w:r>
          </w:p>
        </w:tc>
        <w:tc>
          <w:tcPr>
            <w:tcW w:type="dxa" w:w="24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Executive Business Value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Overall Maturity Level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Level 2.15 / 5.0 (Siloed)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Level 3.90 / 5.0 (SRE-Driven)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Shifted from reactive firefighting to proactive cross-cloud reliability.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Mean Time to Recovery (MTTR)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155 minutes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43 minutes (-72%)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Unified W3C tracing across AWS, Azure, and Kafka accelerated triage.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Monthly Alert Volume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38,500 alerts / month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6,100 alerts / month (-84%)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Reclaimed 420 senior engineering hours/month previously lost to noise.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Actionable Alert Rate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34% actionable (66% noise)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86% actionable (Target ≥75%)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Alerts fire strictly on real customer impact backed by 1-click runbook URLs.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Duplicate / Storm Rate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22% cascading storm rate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4.8% isolated rate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Correlation engine groups cascading dependency failures automatically.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Tier-1 Golden Signal Coverage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38% partial metrics only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98% logs, metrics, traces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Full Golden Signals coverage across all 24 Tier-1 hybrid services.</w:t>
            </w:r>
          </w:p>
        </w:tc>
      </w:tr>
      <w:tr>
        <w:trPr>
          <w:cantSplit/>
        </w:trPr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Data Pipeline SLA Freshness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0% automated tracking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100% of critical ETL flows</w:t>
            </w:r>
          </w:p>
        </w:tc>
        <w:tc>
          <w:tcPr>
            <w:tcW w:type="dxa" w:w="248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Airflow and Snowflake batch delays alert engineers before BI reports fail.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Telemetry Ingestion Overhead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Sprawling multi-tool duplicate logging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Unified OpenTelemetry &amp; edge filtering</w:t>
            </w:r>
          </w:p>
        </w:tc>
        <w:tc>
          <w:tcPr>
            <w:tcW w:type="dxa" w:w="248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Reduced ingestion volume by 22% and eliminated 100% of duplicate indexing overhead.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2. The 90-Day Implementation Sprint Menu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color w:val="1A1A1A"/>
          <w:sz w:val="22"/>
        </w:rPr>
        <w:t>The transformation was delivered across three structured 30-day implementation horizons: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Horizon 1 (Days 0–30: Triage &amp; Quick Wins): </w:t>
      </w:r>
      <w:r>
        <w:rPr>
          <w:rFonts w:ascii="Calibri" w:hAnsi="Calibri" w:cs="Calibri" w:eastAsia="Calibri"/>
          <w:color w:val="1A1A1A"/>
          <w:sz w:val="22"/>
        </w:rPr>
        <w:t>Silenced top-30 noisy alarms; mandated runbook URLs on all P1 alerts; deployed Vector edge log filtering to strip non-production DEBUG logs.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Horizon 2 (Days 31–60: End-to-End Tracing &amp; SLOs): </w:t>
      </w:r>
      <w:r>
        <w:rPr>
          <w:rFonts w:ascii="Calibri" w:hAnsi="Calibri" w:cs="Calibri" w:eastAsia="Calibri"/>
          <w:color w:val="1A1A1A"/>
          <w:sz w:val="22"/>
        </w:rPr>
        <w:t>Deployed OpenTelemetry collectors across EKS and Azure VMs; injected W3C trace context into Kafka message headers; defined core SLIs/SLOs.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Horizon 3 (Days 61–90: FinOps &amp; Governance): </w:t>
      </w:r>
      <w:r>
        <w:rPr>
          <w:rFonts w:ascii="Calibri" w:hAnsi="Calibri" w:cs="Calibri" w:eastAsia="Calibri"/>
          <w:color w:val="1A1A1A"/>
          <w:sz w:val="22"/>
        </w:rPr>
        <w:t>Integrated automated data pipeline freshness checks; retired duplicate Splunk log streams; built Single-Pane Executive Health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MEASUREMENT INTEGRITY &amp; BENCHMARK CAVEAT</w:t>
              <w:br/>
            </w:r>
            <w:r>
              <w:rPr>
                <w:rFonts w:ascii="Calibri" w:hAnsi="Calibri" w:cs="Calibri" w:eastAsia="Calibri"/>
                <w:color w:val="1A1A1A"/>
                <w:sz w:val="20"/>
              </w:rPr>
              <w:t>BENCHMARK METHODOLOGY &amp; CLIENT VALIDATION CAVEAT: Baseline metrics, alert reductions, and ROI figures in this case study reflect audited production data from a 90-day hybrid enterprise engagement. Projected financial returns and recovery metrics for prospective client environments are model estimates subject to baseline verification during the Phase-1 evidence sprint.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Cloud &amp; Hybrid Observability Value Blueprint | Sanitized Enterprise Study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ENTERPRISE RELIABILITY CASE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