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cs="Calibri" w:eastAsia="Calibri"/>
          <w:b/>
          <w:color w:val="1A1A1A"/>
          <w:sz w:val="22"/>
        </w:rPr>
        <w:t>VITHI CONSULTING EXECUTIVE READINESS BRIEF — CLOUD, HYBRID &amp; DATA PLATFORMS</w:t>
      </w:r>
    </w:p>
    <w:p>
      <w:pPr>
        <w:spacing w:before="0" w:after="40"/>
      </w:pPr>
      <w:r>
        <w:rPr>
          <w:rFonts w:ascii="Calibri" w:hAnsi="Calibri" w:cs="Calibri" w:eastAsia="Calibri"/>
          <w:b/>
          <w:color w:val="1A1A1A"/>
          <w:sz w:val="22"/>
        </w:rPr>
        <w:t>Critical Service &amp; Data Observability Readiness</w:t>
      </w:r>
    </w:p>
    <w:p>
      <w:pPr>
        <w:spacing w:before="0" w:after="160"/>
      </w:pPr>
      <w:r>
        <w:rPr>
          <w:rFonts w:ascii="Calibri" w:hAnsi="Calibri" w:cs="Calibri" w:eastAsia="Calibri"/>
          <w:i/>
          <w:color w:val="1A1A1A"/>
          <w:sz w:val="22"/>
        </w:rPr>
        <w:t>A Two-Week Evidence Sprint to Uncover Operational Blind Spots, Tame Alert Noise, and Secure Reliability Across Applications and Data Pipelines</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Calibri" w:hAnsi="Calibri" w:cs="Calibri" w:eastAsia="Calibri"/>
                <w:b/>
                <w:color w:val="1A1A1A"/>
                <w:sz w:val="20"/>
              </w:rPr>
              <w:t>THE VITHI CORE MANDATE</w:t>
              <w:br/>
            </w:r>
            <w:r>
              <w:rPr>
                <w:rFonts w:ascii="Calibri" w:hAnsi="Calibri" w:cs="Calibri" w:eastAsia="Calibri"/>
                <w:color w:val="1A1A1A"/>
                <w:sz w:val="20"/>
              </w:rPr>
              <w:t>"A focused, evidence-led diagnostic to assess whether critical services, data pipelines, dashboards and AI/data flows have the telemetry, correlation, SLOs, alert quality, incident evidence, ownership and cost controls needed to prevent business-impacting failures."</w:t>
            </w:r>
          </w:p>
        </w:tc>
      </w:tr>
    </w:tbl>
    <w:p>
      <w:pPr>
        <w:spacing w:after="60"/>
      </w:pPr>
    </w:p>
    <w:p>
      <w:pPr>
        <w:keepNext/>
        <w:spacing w:before="280" w:after="80"/>
      </w:pPr>
      <w:r>
        <w:rPr>
          <w:rFonts w:ascii="Calibri" w:hAnsi="Calibri" w:cs="Calibri" w:eastAsia="Calibri"/>
          <w:b/>
          <w:color w:val="1A1A1A"/>
          <w:sz w:val="22"/>
        </w:rPr>
        <w:t>1. The Reality: Why Observability Fails to Prevent Outages</w:t>
      </w:r>
    </w:p>
    <w:p>
      <w:pPr>
        <w:spacing w:before="0" w:after="60" w:line="276" w:lineRule="auto"/>
      </w:pPr>
      <w:r>
        <w:rPr>
          <w:rFonts w:ascii="Calibri" w:hAnsi="Calibri" w:cs="Calibri" w:eastAsia="Calibri"/>
          <w:color w:val="1A1A1A"/>
          <w:sz w:val="22"/>
        </w:rPr>
        <w:t>Enterprises spend millions on modern monitoring suites, yet still suffer from high-impact outages, on-call engineer burnout, and soaring SaaS ingestion costs:</w:t>
      </w:r>
    </w:p>
    <w:p>
      <w:pPr>
        <w:pStyle w:val="ListBullet"/>
        <w:spacing w:before="0" w:after="40" w:line="276" w:lineRule="auto"/>
      </w:pPr>
      <w:r>
        <w:rPr>
          <w:rFonts w:ascii="Calibri" w:hAnsi="Calibri" w:cs="Calibri" w:eastAsia="Calibri"/>
          <w:b/>
          <w:color w:val="1A1A1A"/>
          <w:sz w:val="22"/>
        </w:rPr>
        <w:t xml:space="preserve">• Alert Noise &amp; Burnout: </w:t>
      </w:r>
      <w:r>
        <w:rPr>
          <w:rFonts w:ascii="Calibri" w:hAnsi="Calibri" w:cs="Calibri" w:eastAsia="Calibri"/>
          <w:color w:val="1A1A1A"/>
          <w:sz w:val="22"/>
        </w:rPr>
        <w:t>On-call engineers receive thousands of alerts weekly; over 60% are non-actionable noise, causing severe paging fatigue.</w:t>
      </w:r>
    </w:p>
    <w:p>
      <w:pPr>
        <w:pStyle w:val="ListBullet"/>
        <w:spacing w:before="0" w:after="40" w:line="276" w:lineRule="auto"/>
      </w:pPr>
      <w:r>
        <w:rPr>
          <w:rFonts w:ascii="Calibri" w:hAnsi="Calibri" w:cs="Calibri" w:eastAsia="Calibri"/>
          <w:b/>
          <w:color w:val="1A1A1A"/>
          <w:sz w:val="22"/>
        </w:rPr>
        <w:t xml:space="preserve">• Multi-Hour Triage MTTR: </w:t>
      </w:r>
      <w:r>
        <w:rPr>
          <w:rFonts w:ascii="Calibri" w:hAnsi="Calibri" w:cs="Calibri" w:eastAsia="Calibri"/>
          <w:color w:val="1A1A1A"/>
          <w:sz w:val="22"/>
        </w:rPr>
        <w:t>Incidents require manual 10-person war rooms; MTTR stretches beyond 2 to 3 hours because traces break across microservices and data pipelines.</w:t>
      </w:r>
    </w:p>
    <w:p>
      <w:pPr>
        <w:pStyle w:val="ListBullet"/>
        <w:spacing w:before="0" w:after="40" w:line="276" w:lineRule="auto"/>
      </w:pPr>
      <w:r>
        <w:rPr>
          <w:rFonts w:ascii="Calibri" w:hAnsi="Calibri" w:cs="Calibri" w:eastAsia="Calibri"/>
          <w:b/>
          <w:color w:val="1A1A1A"/>
          <w:sz w:val="22"/>
        </w:rPr>
        <w:t xml:space="preserve">• Silent Data Pipeline Failures: </w:t>
      </w:r>
      <w:r>
        <w:rPr>
          <w:rFonts w:ascii="Calibri" w:hAnsi="Calibri" w:cs="Calibri" w:eastAsia="Calibri"/>
          <w:color w:val="1A1A1A"/>
          <w:sz w:val="22"/>
        </w:rPr>
        <w:t>Silent pipeline delays corrupt executive BI reports and customer balances before data engineering is even aware.</w:t>
      </w:r>
    </w:p>
    <w:p>
      <w:pPr>
        <w:pStyle w:val="ListBullet"/>
        <w:spacing w:before="0" w:after="40" w:line="276" w:lineRule="auto"/>
      </w:pPr>
      <w:r>
        <w:rPr>
          <w:rFonts w:ascii="Calibri" w:hAnsi="Calibri" w:cs="Calibri" w:eastAsia="Calibri"/>
          <w:b/>
          <w:color w:val="1A1A1A"/>
          <w:sz w:val="22"/>
        </w:rPr>
        <w:t xml:space="preserve">• Tool Overlap &amp; SaaS Waste: </w:t>
      </w:r>
      <w:r>
        <w:rPr>
          <w:rFonts w:ascii="Calibri" w:hAnsi="Calibri" w:cs="Calibri" w:eastAsia="Calibri"/>
          <w:color w:val="1A1A1A"/>
          <w:sz w:val="22"/>
        </w:rPr>
        <w:t>Dual-logging in Splunk, Datadog, and CloudWatch creates 30–50% annual cost overruns without improving reliability.</w:t>
      </w:r>
    </w:p>
    <w:p>
      <w:pPr>
        <w:keepNext/>
        <w:spacing w:before="280" w:after="80"/>
      </w:pPr>
      <w:r>
        <w:rPr>
          <w:rFonts w:ascii="Calibri" w:hAnsi="Calibri" w:cs="Calibri" w:eastAsia="Calibri"/>
          <w:b/>
          <w:color w:val="1A1A1A"/>
          <w:sz w:val="22"/>
        </w:rPr>
        <w:t>2. Universal Observability Architecture Coverage</w:t>
      </w:r>
    </w:p>
    <w:p>
      <w:pPr>
        <w:spacing w:before="0" w:after="60" w:line="276" w:lineRule="auto"/>
      </w:pPr>
      <w:r>
        <w:rPr>
          <w:rFonts w:ascii="Calibri" w:hAnsi="Calibri" w:cs="Calibri" w:eastAsia="Calibri"/>
          <w:color w:val="1A1A1A"/>
          <w:sz w:val="22"/>
        </w:rPr>
        <w:t>Vithi provides tool-agnostic expertise spanning modern enterprise estates from cloud infrastructure to GenAI pipelines: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Layer</w:t>
            </w:r>
          </w:p>
        </w:tc>
        <w:tc>
          <w:tcPr>
            <w:tcW w:type="dxa" w:w="4968"/>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Examples</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Cloud-native</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AWS CloudWatch/X-Ray, Azure Monitor/App Insights, GCP Cloud Monitoring/Trace</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Open standards</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OpenTelemetry, Prometheus, Grafana, Loki, Jaeger</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Enterprise tools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Datadog, Dynatrace, New Relic, Splunk, Elastic</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Incident / ITSM</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ServiceNow, Jira, PagerDuty, Opsgenie</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Data platforms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Snowflake, Databricks, BigQuery, Redshift, Synapse, Airflow/dbt</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AI / GenAI</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RAG pipelines, vector stores, model APIs, prompt/agent traces</w:t>
            </w:r>
          </w:p>
        </w:tc>
      </w:tr>
    </w:tbl>
    <w:p>
      <w:pPr>
        <w:spacing w:after="60"/>
      </w:pP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Calibri" w:hAnsi="Calibri" w:cs="Calibri" w:eastAsia="Calibri"/>
                <w:b/>
                <w:color w:val="1A1A1A"/>
                <w:sz w:val="20"/>
              </w:rPr>
              <w:t>AI / GENAI / AGENT OBSERVABILITY EXTENSION (OPTIONAL MODULE)</w:t>
              <w:br/>
            </w:r>
            <w:r>
              <w:rPr>
                <w:rFonts w:ascii="Calibri" w:hAnsi="Calibri" w:cs="Calibri" w:eastAsia="Calibri"/>
                <w:color w:val="1A1A1A"/>
                <w:sz w:val="20"/>
              </w:rPr>
              <w:t>OPTIONAL ADD-ON MODULE — APPLICABLE ONLY WHERE AI / GENAI / RAG / AGENTIC WORKLOADS ARE IN SCOPE:</w:t>
              <w:br/>
              <w:t>The core assessment focuses on critical services, databases, and data pipelines. Where enterprises deploy generative AI, RAG architectures, or autonomous agents, Vithi offers an optional extension assessing 11 advanced reliability vectors:</w:t>
              <w:br/>
              <w:t>• model/API latency: Time-to-First-Token (TTFT), inference latency, and API throughput against latency SLOs</w:t>
              <w:br/>
              <w:t>• token/inference cost: prompt vs completion token consumption, caching efficiency, and FinOps cost allocation</w:t>
              <w:br/>
              <w:t>• prompt-flow traces: end-to-end W3C distributed tracing across prompt templates, retrieval chains, and LLM calls</w:t>
              <w:br/>
              <w:t>• RAG retrieval quality: context precision, recall, chunk relevance, and vector similarity scoring</w:t>
              <w:br/>
              <w:t>• embedding/vector store health: vector database query latency, index memory saturation, and embedding drift</w:t>
              <w:br/>
              <w:t>• hallucination/safety monitoring: automated scoring of factual grounding, toxicity, and prompt injection attempts</w:t>
              <w:br/>
              <w:t>• guardrail violations: content filter tripwires, PII redaction triggers, and compliance policy breaches</w:t>
              <w:br/>
              <w:t>• agent tool-call traces: autonomous agent tool invocations, API parameters, retries, and execution loops</w:t>
              <w:br/>
              <w:t>• human approval gates: human-in-the-loop (HITL) review queue latency and manual override audit logs</w:t>
              <w:br/>
              <w:t>• AI incident workflow: severity classification and automated routing for model degradation and safety failures</w:t>
              <w:br/>
              <w:t>• audit trail for AI-generated actions: immutable logging of user prompts, model versions, and AI-driven actions.</w:t>
              <w:br/>
              <w:br/>
              <w:t>This demonstrates our broader coverage of the Observability offering across next-generation workloads without burdening standard IT estates.</w:t>
            </w:r>
          </w:p>
        </w:tc>
      </w:tr>
    </w:tbl>
    <w:p>
      <w:pPr>
        <w:spacing w:after="60"/>
      </w:pPr>
    </w:p>
    <w:p>
      <w:pPr>
        <w:keepNext/>
        <w:spacing w:before="280" w:after="80"/>
      </w:pPr>
      <w:r>
        <w:rPr>
          <w:rFonts w:ascii="Calibri" w:hAnsi="Calibri" w:cs="Calibri" w:eastAsia="Calibri"/>
          <w:b/>
          <w:color w:val="1A1A1A"/>
          <w:sz w:val="22"/>
        </w:rPr>
        <w:t>3. Why Vithi? Strategic Differentiation</w:t>
      </w:r>
    </w:p>
    <w:p>
      <w:pPr>
        <w:spacing w:before="0" w:after="60" w:line="276" w:lineRule="auto"/>
      </w:pPr>
      <w:r>
        <w:rPr>
          <w:rFonts w:ascii="Calibri" w:hAnsi="Calibri" w:cs="Calibri" w:eastAsia="Calibri"/>
          <w:color w:val="1A1A1A"/>
          <w:sz w:val="22"/>
        </w:rPr>
        <w:t>Why leading enterprises partner with Vithi rather than tool vendors, generalist SIs, or internal squads alone: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Customer Alternative</w:t>
            </w:r>
          </w:p>
        </w:tc>
        <w:tc>
          <w:tcPr>
            <w:tcW w:type="dxa" w:w="4968"/>
            <w:shd w:fill="334155"/>
            <w:tcMar>
              <w:top w:w="120" w:type="dxa"/>
              <w:bottom w:w="120" w:type="dxa"/>
              <w:left w:w="140" w:type="dxa"/>
              <w:right w:w="140" w:type="dxa"/>
            </w:tcMar>
          </w:tcPr>
          <w:p>
            <w:pPr>
              <w:spacing w:before="0" w:after="0"/>
              <w:jc w:val="left"/>
            </w:pPr>
            <w:r>
              <w:rPr>
                <w:rFonts w:ascii="Calibri" w:hAnsi="Calibri" w:cs="Calibri" w:eastAsia="Calibri"/>
                <w:b/>
                <w:color w:val="FFFFFF"/>
                <w:sz w:val="20"/>
              </w:rPr>
              <w:t>The Vithi Consultative Advantage</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Why not my existing observability tools?</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We are tool-neutral. We assess whether your current tools are actually delivering ownership, correlation, SLOs, incident reduction, and audit evidence.</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Why not a Big 4 or Tier-1 Global SI?</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We start with a focused two-week evidence sprint led by Principal SREs—delivering immediate actionable value, not a bloated 6-month deck.</w:t>
            </w:r>
          </w:p>
        </w:tc>
      </w:tr>
      <w:tr>
        <w:trPr>
          <w:cantSplit/>
        </w:trPr>
        <w:tc>
          <w:tcPr>
            <w:tcW w:type="dxa" w:w="4968"/>
            <w:shd w:fill="FFFFFF"/>
            <w:tcMar>
              <w:top w:w="60" w:type="dxa"/>
              <w:bottom w:w="60" w:type="dxa"/>
              <w:left w:w="80" w:type="dxa"/>
              <w:right w:w="80" w:type="dxa"/>
            </w:tcMar>
          </w:tcPr>
          <w:p>
            <w:pPr>
              <w:spacing w:before="0" w:after="0"/>
            </w:pPr>
            <w:r>
              <w:rPr>
                <w:rFonts w:ascii="Calibri" w:hAnsi="Calibri" w:cs="Calibri" w:eastAsia="Calibri"/>
                <w:b/>
                <w:color w:val="1A1A1A"/>
                <w:sz w:val="20"/>
              </w:rPr>
              <w:t>Why not our internal SRE / Platform team?</w:t>
            </w:r>
          </w:p>
        </w:tc>
        <w:tc>
          <w:tcPr>
            <w:tcW w:type="dxa" w:w="4968"/>
            <w:shd w:fill="FFFFFF"/>
            <w:tcMar>
              <w:top w:w="60" w:type="dxa"/>
              <w:bottom w:w="60" w:type="dxa"/>
              <w:left w:w="80" w:type="dxa"/>
              <w:right w:w="80" w:type="dxa"/>
            </w:tcMar>
          </w:tcPr>
          <w:p>
            <w:pPr>
              <w:spacing w:before="0" w:after="0"/>
            </w:pPr>
            <w:r>
              <w:rPr>
                <w:rFonts w:ascii="Calibri" w:hAnsi="Calibri" w:cs="Calibri" w:eastAsia="Calibri"/>
                <w:color w:val="1A1A1A"/>
                <w:sz w:val="20"/>
              </w:rPr>
              <w:t>Your internal team knows the environment best. Vithi acts as an ally, converting their knowledge into an evidence baseline and executive budget.</w:t>
            </w:r>
          </w:p>
        </w:tc>
      </w:tr>
      <w:tr>
        <w:trPr>
          <w:cantSplit/>
        </w:trPr>
        <w:tc>
          <w:tcPr>
            <w:tcW w:type="dxa" w:w="4968"/>
            <w:shd w:fill="F8FAFC"/>
            <w:tcMar>
              <w:top w:w="60" w:type="dxa"/>
              <w:bottom w:w="60" w:type="dxa"/>
              <w:left w:w="80" w:type="dxa"/>
              <w:right w:w="80" w:type="dxa"/>
            </w:tcMar>
          </w:tcPr>
          <w:p>
            <w:pPr>
              <w:spacing w:before="0" w:after="0"/>
            </w:pPr>
            <w:r>
              <w:rPr>
                <w:rFonts w:ascii="Calibri" w:hAnsi="Calibri" w:cs="Calibri" w:eastAsia="Calibri"/>
                <w:b/>
                <w:color w:val="1A1A1A"/>
                <w:sz w:val="20"/>
              </w:rPr>
              <w:t>Why Vithi specifically?</w:t>
            </w:r>
          </w:p>
        </w:tc>
        <w:tc>
          <w:tcPr>
            <w:tcW w:type="dxa" w:w="4968"/>
            <w:shd w:fill="F8FAFC"/>
            <w:tcMar>
              <w:top w:w="60" w:type="dxa"/>
              <w:bottom w:w="60" w:type="dxa"/>
              <w:left w:w="80" w:type="dxa"/>
              <w:right w:w="80" w:type="dxa"/>
            </w:tcMar>
          </w:tcPr>
          <w:p>
            <w:pPr>
              <w:spacing w:before="0" w:after="0"/>
            </w:pPr>
            <w:r>
              <w:rPr>
                <w:rFonts w:ascii="Calibri" w:hAnsi="Calibri" w:cs="Calibri" w:eastAsia="Calibri"/>
                <w:color w:val="1A1A1A"/>
                <w:sz w:val="20"/>
              </w:rPr>
              <w:t>Tool-neutral, data-pipeline aware, senior-led SRE engineering authority, business-impact-led, and rapid implementation-linked.</w:t>
            </w:r>
          </w:p>
        </w:tc>
      </w:tr>
    </w:tbl>
    <w:p>
      <w:pPr>
        <w:spacing w:after="60"/>
      </w:pPr>
    </w:p>
    <w:p>
      <w:pPr>
        <w:keepNext/>
        <w:spacing w:before="280" w:after="80"/>
      </w:pPr>
      <w:r>
        <w:rPr>
          <w:rFonts w:ascii="Calibri" w:hAnsi="Calibri" w:cs="Calibri" w:eastAsia="Calibri"/>
          <w:b/>
          <w:color w:val="1A1A1A"/>
          <w:sz w:val="22"/>
        </w:rPr>
        <w:t>4. Illustrative Operational Targets (Agreed Post-Diagnostic)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rPr>
          <w:tblHeader/>
          <w:cantSplit/>
        </w:trPr>
        <w:tc>
          <w:tcPr>
            <w:tcW w:type="dxa" w:w="2484"/>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Operational Metric</w:t>
            </w:r>
          </w:p>
        </w:tc>
        <w:tc>
          <w:tcPr>
            <w:tcW w:type="dxa" w:w="2484"/>
            <w:shd w:fill="1E3A8A"/>
            <w:tcMar>
              <w:top w:w="120" w:type="dxa"/>
              <w:bottom w:w="120" w:type="dxa"/>
              <w:left w:w="140" w:type="dxa"/>
              <w:right w:w="140" w:type="dxa"/>
            </w:tcMar>
          </w:tcPr>
          <w:p>
            <w:pPr>
              <w:spacing w:before="0" w:after="0"/>
              <w:jc w:val="left"/>
            </w:pPr>
            <w:r>
              <w:rPr>
                <w:rFonts w:ascii="Calibri" w:hAnsi="Calibri" w:cs="Calibri" w:eastAsia="Calibri"/>
                <w:b/>
                <w:color w:val="FFFFFF"/>
                <w:sz w:val="20"/>
              </w:rPr>
              <w:t>Typical Baseline State</w:t>
            </w:r>
          </w:p>
        </w:tc>
        <w:tc>
          <w:tcPr>
            <w:tcW w:type="dxa" w:w="2484"/>
            <w:shd w:fill="1E3A8A"/>
            <w:tcMar>
              <w:top w:w="120" w:type="dxa"/>
              <w:bottom w:w="120" w:type="dxa"/>
              <w:left w:w="140" w:type="dxa"/>
              <w:right w:w="140" w:type="dxa"/>
            </w:tcMar>
          </w:tcPr>
          <w:p>
            <w:r>
              <w:rPr>
                <w:rFonts w:ascii="Calibri" w:hAnsi="Calibri" w:cs="Calibri" w:eastAsia="Calibri"/>
                <w:b/>
                <w:color w:val="FFFFFF"/>
                <w:sz w:val="20"/>
              </w:rPr>
              <w:t>Illustrative Target State*</w:t>
            </w:r>
          </w:p>
        </w:tc>
        <w:tc>
          <w:tcPr>
            <w:tcW w:type="dxa" w:w="2484"/>
            <w:shd w:fill="1E3A8A"/>
            <w:tcMar>
              <w:top w:w="120" w:type="dxa"/>
              <w:bottom w:w="120" w:type="dxa"/>
              <w:left w:w="140" w:type="dxa"/>
              <w:right w:w="140" w:type="dxa"/>
            </w:tcMar>
          </w:tcPr>
          <w:p>
            <w:r>
              <w:rPr>
                <w:rFonts w:ascii="Calibri" w:hAnsi="Calibri" w:cs="Calibri" w:eastAsia="Calibri"/>
                <w:b/>
                <w:color w:val="FFFFFF"/>
                <w:sz w:val="20"/>
              </w:rPr>
              <w:t>Modeled Business Value*</w:t>
            </w:r>
          </w:p>
        </w:tc>
      </w:tr>
      <w:tr>
        <w:trPr>
          <w:cantSplit/>
        </w:trPr>
        <w:tc>
          <w:tcPr>
            <w:tcW w:type="dxa" w:w="2484"/>
            <w:shd w:fill="FFFFFF"/>
            <w:tcMar>
              <w:top w:w="60" w:type="dxa"/>
              <w:bottom w:w="60" w:type="dxa"/>
              <w:left w:w="80" w:type="dxa"/>
              <w:right w:w="80" w:type="dxa"/>
            </w:tcMar>
          </w:tcPr>
          <w:p>
            <w:pPr>
              <w:spacing w:before="0" w:after="0"/>
            </w:pPr>
            <w:r>
              <w:rPr>
                <w:rFonts w:ascii="Calibri" w:hAnsi="Calibri" w:cs="Calibri" w:eastAsia="Calibri"/>
                <w:b/>
                <w:color w:val="1A1A1A"/>
                <w:sz w:val="20"/>
              </w:rPr>
              <w:t>Mean Time to Recovery (MTTR)</w:t>
            </w:r>
          </w:p>
        </w:tc>
        <w:tc>
          <w:tcPr>
            <w:tcW w:type="dxa" w:w="2484"/>
            <w:shd w:fill="FFFFFF"/>
            <w:tcMar>
              <w:top w:w="60" w:type="dxa"/>
              <w:bottom w:w="60" w:type="dxa"/>
              <w:left w:w="80" w:type="dxa"/>
              <w:right w:w="80" w:type="dxa"/>
            </w:tcMar>
          </w:tcPr>
          <w:p>
            <w:pPr>
              <w:spacing w:before="0" w:after="0"/>
            </w:pPr>
            <w:r>
              <w:rPr>
                <w:rFonts w:ascii="Calibri" w:hAnsi="Calibri" w:cs="Calibri" w:eastAsia="Calibri"/>
                <w:color w:val="1A1A1A"/>
                <w:sz w:val="20"/>
              </w:rPr>
              <w:t>120–180 minutes</w:t>
            </w:r>
          </w:p>
        </w:tc>
        <w:tc>
          <w:tcPr>
            <w:tcW w:type="dxa" w:w="2484"/>
            <w:shd w:fill="FFFFFF"/>
            <w:tcMar>
              <w:top w:w="60" w:type="dxa"/>
              <w:bottom w:w="60" w:type="dxa"/>
              <w:left w:w="80" w:type="dxa"/>
              <w:right w:w="80" w:type="dxa"/>
            </w:tcMar>
          </w:tcPr>
          <w:p>
            <w:pPr>
              <w:spacing w:before="0" w:after="0"/>
            </w:pPr>
            <w:r>
              <w:rPr>
                <w:rFonts w:ascii="Calibri" w:hAnsi="Calibri" w:cs="Calibri" w:eastAsia="Calibri"/>
                <w:b/>
                <w:color w:val="1A1A1A"/>
                <w:sz w:val="20"/>
              </w:rPr>
              <w:t>&lt;45 minutes</w:t>
            </w:r>
          </w:p>
        </w:tc>
        <w:tc>
          <w:tcPr>
            <w:tcW w:type="dxa" w:w="2484"/>
            <w:shd w:fill="FFFFFF"/>
            <w:tcMar>
              <w:top w:w="60" w:type="dxa"/>
              <w:bottom w:w="60" w:type="dxa"/>
              <w:left w:w="80" w:type="dxa"/>
              <w:right w:w="80" w:type="dxa"/>
            </w:tcMar>
          </w:tcPr>
          <w:p>
            <w:r>
              <w:rPr>
                <w:rFonts w:ascii="Calibri" w:hAnsi="Calibri" w:cs="Calibri" w:eastAsia="Calibri"/>
                <w:color w:val="1A1A1A"/>
                <w:sz w:val="20"/>
              </w:rPr>
              <w:t>Modeled 50–70%+ reduction in customer downtime (customer-baseline-dependent)</w:t>
            </w:r>
          </w:p>
        </w:tc>
      </w:tr>
      <w:tr>
        <w:trPr>
          <w:cantSplit/>
        </w:trPr>
        <w:tc>
          <w:tcPr>
            <w:tcW w:type="dxa" w:w="2484"/>
            <w:shd w:fill="F8FAFC"/>
            <w:tcMar>
              <w:top w:w="60" w:type="dxa"/>
              <w:bottom w:w="60" w:type="dxa"/>
              <w:left w:w="80" w:type="dxa"/>
              <w:right w:w="80" w:type="dxa"/>
            </w:tcMar>
          </w:tcPr>
          <w:p>
            <w:pPr>
              <w:spacing w:before="0" w:after="0"/>
            </w:pPr>
            <w:r>
              <w:rPr>
                <w:rFonts w:ascii="Calibri" w:hAnsi="Calibri" w:cs="Calibri" w:eastAsia="Calibri"/>
                <w:b/>
                <w:color w:val="1A1A1A"/>
                <w:sz w:val="20"/>
              </w:rPr>
              <w:t>Actionable Alert Rate</w:t>
            </w:r>
          </w:p>
        </w:tc>
        <w:tc>
          <w:tcPr>
            <w:tcW w:type="dxa" w:w="2484"/>
            <w:shd w:fill="F8FAFC"/>
            <w:tcMar>
              <w:top w:w="60" w:type="dxa"/>
              <w:bottom w:w="60" w:type="dxa"/>
              <w:left w:w="80" w:type="dxa"/>
              <w:right w:w="80" w:type="dxa"/>
            </w:tcMar>
          </w:tcPr>
          <w:p>
            <w:pPr>
              <w:spacing w:before="0" w:after="0"/>
            </w:pPr>
            <w:r>
              <w:rPr>
                <w:rFonts w:ascii="Calibri" w:hAnsi="Calibri" w:cs="Calibri" w:eastAsia="Calibri"/>
                <w:color w:val="1A1A1A"/>
                <w:sz w:val="20"/>
              </w:rPr>
              <w:t>30–40% actionable (60%+ noise)</w:t>
            </w:r>
          </w:p>
        </w:tc>
        <w:tc>
          <w:tcPr>
            <w:tcW w:type="dxa" w:w="2484"/>
            <w:shd w:fill="F8FAFC"/>
            <w:tcMar>
              <w:top w:w="60" w:type="dxa"/>
              <w:bottom w:w="60" w:type="dxa"/>
              <w:left w:w="80" w:type="dxa"/>
              <w:right w:w="80" w:type="dxa"/>
            </w:tcMar>
          </w:tcPr>
          <w:p>
            <w:pPr>
              <w:spacing w:before="0" w:after="0"/>
            </w:pPr>
            <w:r>
              <w:rPr>
                <w:rFonts w:ascii="Calibri" w:hAnsi="Calibri" w:cs="Calibri" w:eastAsia="Calibri"/>
                <w:b/>
                <w:color w:val="1A1A1A"/>
                <w:sz w:val="20"/>
              </w:rPr>
              <w:t>≥80% actionable</w:t>
            </w:r>
          </w:p>
        </w:tc>
        <w:tc>
          <w:tcPr>
            <w:tcW w:type="dxa" w:w="2484"/>
            <w:shd w:fill="F8FAFC"/>
            <w:tcMar>
              <w:top w:w="60" w:type="dxa"/>
              <w:bottom w:w="60" w:type="dxa"/>
              <w:left w:w="80" w:type="dxa"/>
              <w:right w:w="80" w:type="dxa"/>
            </w:tcMar>
          </w:tcPr>
          <w:p>
            <w:r>
              <w:rPr>
                <w:rFonts w:ascii="Calibri" w:hAnsi="Calibri" w:cs="Calibri" w:eastAsia="Calibri"/>
                <w:color w:val="1A1A1A"/>
                <w:sz w:val="20"/>
              </w:rPr>
              <w:t>Modeled opportunity to reclaim 250–300+ senior engineering hours/month; relieves burnout.</w:t>
            </w:r>
          </w:p>
        </w:tc>
      </w:tr>
      <w:tr>
        <w:trPr>
          <w:cantSplit/>
        </w:trPr>
        <w:tc>
          <w:tcPr>
            <w:tcW w:type="dxa" w:w="2484"/>
            <w:shd w:fill="FFFFFF"/>
            <w:tcMar>
              <w:top w:w="60" w:type="dxa"/>
              <w:bottom w:w="60" w:type="dxa"/>
              <w:left w:w="80" w:type="dxa"/>
              <w:right w:w="80" w:type="dxa"/>
            </w:tcMar>
          </w:tcPr>
          <w:p>
            <w:pPr>
              <w:spacing w:before="0" w:after="0"/>
            </w:pPr>
            <w:r>
              <w:rPr>
                <w:rFonts w:ascii="Calibri" w:hAnsi="Calibri" w:cs="Calibri" w:eastAsia="Calibri"/>
                <w:b/>
                <w:color w:val="1A1A1A"/>
                <w:sz w:val="20"/>
              </w:rPr>
              <w:t>Duplicate / Cascading Storms</w:t>
            </w:r>
          </w:p>
        </w:tc>
        <w:tc>
          <w:tcPr>
            <w:tcW w:type="dxa" w:w="2484"/>
            <w:shd w:fill="FFFFFF"/>
            <w:tcMar>
              <w:top w:w="60" w:type="dxa"/>
              <w:bottom w:w="60" w:type="dxa"/>
              <w:left w:w="80" w:type="dxa"/>
              <w:right w:w="80" w:type="dxa"/>
            </w:tcMar>
          </w:tcPr>
          <w:p>
            <w:pPr>
              <w:spacing w:before="0" w:after="0"/>
            </w:pPr>
            <w:r>
              <w:rPr>
                <w:rFonts w:ascii="Calibri" w:hAnsi="Calibri" w:cs="Calibri" w:eastAsia="Calibri"/>
                <w:color w:val="1A1A1A"/>
                <w:sz w:val="20"/>
              </w:rPr>
              <w:t>15–25% storm rate</w:t>
            </w:r>
          </w:p>
        </w:tc>
        <w:tc>
          <w:tcPr>
            <w:tcW w:type="dxa" w:w="2484"/>
            <w:shd w:fill="FFFFFF"/>
            <w:tcMar>
              <w:top w:w="60" w:type="dxa"/>
              <w:bottom w:w="60" w:type="dxa"/>
              <w:left w:w="80" w:type="dxa"/>
              <w:right w:w="80" w:type="dxa"/>
            </w:tcMar>
          </w:tcPr>
          <w:p>
            <w:pPr>
              <w:spacing w:before="0" w:after="0"/>
            </w:pPr>
            <w:r>
              <w:rPr>
                <w:rFonts w:ascii="Calibri" w:hAnsi="Calibri" w:cs="Calibri" w:eastAsia="Calibri"/>
                <w:b/>
                <w:color w:val="1A1A1A"/>
                <w:sz w:val="20"/>
              </w:rPr>
              <w:t>≤5% isolated rate</w:t>
            </w:r>
          </w:p>
        </w:tc>
        <w:tc>
          <w:tcPr>
            <w:tcW w:type="dxa" w:w="2484"/>
            <w:shd w:fill="FFFFFF"/>
            <w:tcMar>
              <w:top w:w="60" w:type="dxa"/>
              <w:bottom w:w="60" w:type="dxa"/>
              <w:left w:w="80" w:type="dxa"/>
              <w:right w:w="80" w:type="dxa"/>
            </w:tcMar>
          </w:tcPr>
          <w:p>
            <w:pPr>
              <w:spacing w:before="0" w:after="0"/>
            </w:pPr>
            <w:r>
              <w:rPr>
                <w:rFonts w:ascii="Calibri" w:hAnsi="Calibri" w:cs="Calibri" w:eastAsia="Calibri"/>
                <w:color w:val="1A1A1A"/>
                <w:sz w:val="20"/>
              </w:rPr>
              <w:t>Automated event grouping prevents war room alarm floods.</w:t>
            </w:r>
          </w:p>
        </w:tc>
      </w:tr>
      <w:tr>
        <w:trPr>
          <w:cantSplit/>
        </w:trPr>
        <w:tc>
          <w:tcPr>
            <w:tcW w:type="dxa" w:w="2484"/>
            <w:shd w:fill="F8FAFC"/>
            <w:tcMar>
              <w:top w:w="60" w:type="dxa"/>
              <w:bottom w:w="60" w:type="dxa"/>
              <w:left w:w="80" w:type="dxa"/>
              <w:right w:w="80" w:type="dxa"/>
            </w:tcMar>
          </w:tcPr>
          <w:p>
            <w:pPr>
              <w:spacing w:before="0" w:after="0"/>
            </w:pPr>
            <w:r>
              <w:rPr>
                <w:rFonts w:ascii="Calibri" w:hAnsi="Calibri" w:cs="Calibri" w:eastAsia="Calibri"/>
                <w:b/>
                <w:color w:val="1A1A1A"/>
                <w:sz w:val="20"/>
              </w:rPr>
              <w:t>Tier-1 SLO Governance</w:t>
            </w:r>
          </w:p>
        </w:tc>
        <w:tc>
          <w:tcPr>
            <w:tcW w:type="dxa" w:w="2484"/>
            <w:shd w:fill="F8FAFC"/>
            <w:tcMar>
              <w:top w:w="60" w:type="dxa"/>
              <w:bottom w:w="60" w:type="dxa"/>
              <w:left w:w="80" w:type="dxa"/>
              <w:right w:w="80" w:type="dxa"/>
            </w:tcMar>
          </w:tcPr>
          <w:p>
            <w:pPr>
              <w:spacing w:before="0" w:after="0"/>
            </w:pPr>
            <w:r>
              <w:rPr>
                <w:rFonts w:ascii="Calibri" w:hAnsi="Calibri" w:cs="Calibri" w:eastAsia="Calibri"/>
                <w:color w:val="1A1A1A"/>
                <w:sz w:val="20"/>
              </w:rPr>
              <w:t>0% coverage (opinion-based)</w:t>
            </w:r>
          </w:p>
        </w:tc>
        <w:tc>
          <w:tcPr>
            <w:tcW w:type="dxa" w:w="2484"/>
            <w:shd w:fill="F8FAFC"/>
            <w:tcMar>
              <w:top w:w="60" w:type="dxa"/>
              <w:bottom w:w="60" w:type="dxa"/>
              <w:left w:w="80" w:type="dxa"/>
              <w:right w:w="80" w:type="dxa"/>
            </w:tcMar>
          </w:tcPr>
          <w:p>
            <w:pPr>
              <w:spacing w:before="0" w:after="0"/>
            </w:pPr>
            <w:r>
              <w:rPr>
                <w:rFonts w:ascii="Calibri" w:hAnsi="Calibri" w:cs="Calibri" w:eastAsia="Calibri"/>
                <w:b/>
                <w:color w:val="1A1A1A"/>
                <w:sz w:val="20"/>
              </w:rPr>
              <w:t>100% of critical user paths</w:t>
            </w:r>
          </w:p>
        </w:tc>
        <w:tc>
          <w:tcPr>
            <w:tcW w:type="dxa" w:w="2484"/>
            <w:shd w:fill="F8FAFC"/>
            <w:tcMar>
              <w:top w:w="60" w:type="dxa"/>
              <w:bottom w:w="60" w:type="dxa"/>
              <w:left w:w="80" w:type="dxa"/>
              <w:right w:w="80" w:type="dxa"/>
            </w:tcMar>
          </w:tcPr>
          <w:p>
            <w:pPr>
              <w:spacing w:before="0" w:after="0"/>
            </w:pPr>
            <w:r>
              <w:rPr>
                <w:rFonts w:ascii="Calibri" w:hAnsi="Calibri" w:cs="Calibri" w:eastAsia="Calibri"/>
                <w:color w:val="1A1A1A"/>
                <w:sz w:val="20"/>
              </w:rPr>
              <w:t>Error budgets halt unstable code; protects revenue SLAs.</w:t>
            </w:r>
          </w:p>
        </w:tc>
      </w:tr>
      <w:tr>
        <w:trPr>
          <w:cantSplit/>
        </w:trPr>
        <w:tc>
          <w:tcPr>
            <w:tcW w:type="dxa" w:w="2484"/>
            <w:shd w:fill="FFFFFF"/>
            <w:tcMar>
              <w:top w:w="60" w:type="dxa"/>
              <w:bottom w:w="60" w:type="dxa"/>
              <w:left w:w="80" w:type="dxa"/>
              <w:right w:w="80" w:type="dxa"/>
            </w:tcMar>
          </w:tcPr>
          <w:p>
            <w:pPr>
              <w:spacing w:before="0" w:after="0"/>
            </w:pPr>
            <w:r>
              <w:rPr>
                <w:rFonts w:ascii="Calibri" w:hAnsi="Calibri" w:cs="Calibri" w:eastAsia="Calibri"/>
                <w:b/>
                <w:color w:val="1A1A1A"/>
                <w:sz w:val="20"/>
              </w:rPr>
              <w:t>Telemetry Ingestion Efficiency</w:t>
            </w:r>
          </w:p>
        </w:tc>
        <w:tc>
          <w:tcPr>
            <w:tcW w:type="dxa" w:w="2484"/>
            <w:shd w:fill="FFFFFF"/>
            <w:tcMar>
              <w:top w:w="60" w:type="dxa"/>
              <w:bottom w:w="60" w:type="dxa"/>
              <w:left w:w="80" w:type="dxa"/>
              <w:right w:w="80" w:type="dxa"/>
            </w:tcMar>
          </w:tcPr>
          <w:p>
            <w:pPr>
              <w:spacing w:before="0" w:after="0"/>
            </w:pPr>
            <w:r>
              <w:rPr>
                <w:rFonts w:ascii="Calibri" w:hAnsi="Calibri" w:cs="Calibri" w:eastAsia="Calibri"/>
                <w:color w:val="1A1A1A"/>
                <w:sz w:val="20"/>
              </w:rPr>
              <w:t>Unmanaged multi-tool indexing</w:t>
            </w:r>
          </w:p>
        </w:tc>
        <w:tc>
          <w:tcPr>
            <w:tcW w:type="dxa" w:w="2484"/>
            <w:shd w:fill="FFFFFF"/>
            <w:tcMar>
              <w:top w:w="60" w:type="dxa"/>
              <w:bottom w:w="60" w:type="dxa"/>
              <w:left w:w="80" w:type="dxa"/>
              <w:right w:w="80" w:type="dxa"/>
            </w:tcMar>
          </w:tcPr>
          <w:p>
            <w:pPr>
              <w:spacing w:before="0" w:after="0"/>
            </w:pPr>
            <w:r>
              <w:rPr>
                <w:rFonts w:ascii="Calibri" w:hAnsi="Calibri" w:cs="Calibri" w:eastAsia="Calibri"/>
                <w:b/>
                <w:color w:val="1A1A1A"/>
                <w:sz w:val="20"/>
              </w:rPr>
              <w:t>Consolidated OpenTelemetry</w:t>
            </w:r>
          </w:p>
        </w:tc>
        <w:tc>
          <w:tcPr>
            <w:tcW w:type="dxa" w:w="2484"/>
            <w:shd w:fill="FFFFFF"/>
            <w:tcMar>
              <w:top w:w="60" w:type="dxa"/>
              <w:bottom w:w="60" w:type="dxa"/>
              <w:left w:w="80" w:type="dxa"/>
              <w:right w:w="80" w:type="dxa"/>
            </w:tcMar>
          </w:tcPr>
          <w:p>
            <w:r>
              <w:rPr>
                <w:rFonts w:ascii="Calibri" w:hAnsi="Calibri" w:cs="Calibri" w:eastAsia="Calibri"/>
                <w:color w:val="1A1A1A"/>
                <w:sz w:val="20"/>
              </w:rPr>
              <w:t>Modeled 20–25% reduction in telemetry ingestion overhead (subject to baseline audit)</w:t>
            </w:r>
          </w:p>
        </w:tc>
      </w:tr>
      <w:tr>
        <w:tc>
          <w:tcPr>
            <w:tcW w:type="dxa" w:w="9936"/>
            <w:gridSpan w:val="4"/>
          </w:tcPr>
          <w:p>
            <w:r>
              <w:rPr>
                <w:rFonts w:ascii="Calibri" w:hAnsi="Calibri" w:cs="Calibri" w:eastAsia="Calibri"/>
                <w:b w:val="0"/>
                <w:i/>
                <w:color w:val="1A1A1A"/>
                <w:sz w:val="20"/>
              </w:rPr>
              <w:t>*Note: Metrics shown are illustrative targets based on historical enterprise engagements. Final targets are customer-baseline-dependent and formally agreed after the diagnostic.</w:t>
            </w:r>
          </w:p>
        </w:tc>
      </w:tr>
    </w:tbl>
    <w:p>
      <w:pPr>
        <w:spacing w:after="60"/>
      </w:pPr>
    </w:p>
    <w:p>
      <w:pPr>
        <w:keepNext/>
        <w:spacing w:before="280" w:after="80"/>
      </w:pPr>
      <w:r>
        <w:rPr>
          <w:rFonts w:ascii="Calibri" w:hAnsi="Calibri" w:cs="Calibri" w:eastAsia="Calibri"/>
          <w:b/>
          <w:color w:val="1A1A1A"/>
          <w:sz w:val="22"/>
        </w:rPr>
        <w:t>5. Getting Started: The Two-Week Evidence Sprint</w:t>
      </w:r>
    </w:p>
    <w:p>
      <w:pPr>
        <w:spacing w:before="0" w:after="60" w:line="276" w:lineRule="auto"/>
      </w:pPr>
      <w:r>
        <w:rPr>
          <w:rFonts w:ascii="Calibri" w:hAnsi="Calibri" w:cs="Calibri" w:eastAsia="Calibri"/>
          <w:color w:val="1A1A1A"/>
          <w:sz w:val="22"/>
        </w:rPr>
        <w:t>Our diagnostic requires zero production agent installs and less than 10 hours of team interview time:</w:t>
      </w:r>
    </w:p>
    <w:p>
      <w:pPr>
        <w:pStyle w:val="ListBullet"/>
        <w:spacing w:before="0" w:after="40" w:line="276" w:lineRule="auto"/>
      </w:pPr>
      <w:r>
        <w:rPr>
          <w:rFonts w:ascii="Calibri" w:hAnsi="Calibri" w:cs="Calibri" w:eastAsia="Calibri"/>
          <w:b/>
          <w:color w:val="1A1A1A"/>
          <w:sz w:val="22"/>
        </w:rPr>
        <w:t xml:space="preserve">1. Business Trigger Discovery (30 Mins): </w:t>
      </w:r>
      <w:r>
        <w:rPr>
          <w:rFonts w:ascii="Calibri" w:hAnsi="Calibri" w:cs="Calibri" w:eastAsia="Calibri"/>
          <w:color w:val="1A1A1A"/>
          <w:sz w:val="22"/>
        </w:rPr>
        <w:t>Align on recent major outages, alert fatigue pain points, or SaaS bill escalation.</w:t>
      </w:r>
    </w:p>
    <w:p>
      <w:pPr>
        <w:pStyle w:val="ListBullet"/>
        <w:spacing w:before="0" w:after="40" w:line="276" w:lineRule="auto"/>
      </w:pPr>
      <w:r>
        <w:rPr>
          <w:rFonts w:ascii="Calibri" w:hAnsi="Calibri" w:cs="Calibri" w:eastAsia="Calibri"/>
          <w:b/>
          <w:color w:val="1A1A1A"/>
          <w:sz w:val="22"/>
        </w:rPr>
        <w:t xml:space="preserve">2. Scope Intake &amp; Tool Mapping (Day 1): </w:t>
      </w:r>
      <w:r>
        <w:rPr>
          <w:rFonts w:ascii="Calibri" w:hAnsi="Calibri" w:cs="Calibri" w:eastAsia="Calibri"/>
          <w:color w:val="1A1A1A"/>
          <w:sz w:val="22"/>
        </w:rPr>
        <w:t>Map multi-cloud environments, critical services, data pipelines, and tool stack.</w:t>
      </w:r>
    </w:p>
    <w:p>
      <w:pPr>
        <w:pStyle w:val="ListBullet"/>
        <w:spacing w:before="0" w:after="40" w:line="276" w:lineRule="auto"/>
      </w:pPr>
      <w:r>
        <w:rPr>
          <w:rFonts w:ascii="Calibri" w:hAnsi="Calibri" w:cs="Calibri" w:eastAsia="Calibri"/>
          <w:b/>
          <w:color w:val="1A1A1A"/>
          <w:sz w:val="22"/>
        </w:rPr>
        <w:t xml:space="preserve">3. Read-Only Evidence Audit (Days 2–10): </w:t>
      </w:r>
      <w:r>
        <w:rPr>
          <w:rFonts w:ascii="Calibri" w:hAnsi="Calibri" w:cs="Calibri" w:eastAsia="Calibri"/>
          <w:color w:val="1A1A1A"/>
          <w:sz w:val="22"/>
        </w:rPr>
        <w:t>Principal SREs audit EV01–EV12 artifacts under strict read-only access roles.</w:t>
      </w:r>
    </w:p>
    <w:p>
      <w:pPr>
        <w:pStyle w:val="ListBullet"/>
        <w:spacing w:before="0" w:after="40" w:line="276" w:lineRule="auto"/>
      </w:pPr>
      <w:r>
        <w:rPr>
          <w:rFonts w:ascii="Calibri" w:hAnsi="Calibri" w:cs="Calibri" w:eastAsia="Calibri"/>
          <w:b/>
          <w:color w:val="1A1A1A"/>
          <w:sz w:val="22"/>
        </w:rPr>
        <w:t xml:space="preserve">4. Executive Board Readout (Day 14): </w:t>
      </w:r>
      <w:r>
        <w:rPr>
          <w:rFonts w:ascii="Calibri" w:hAnsi="Calibri" w:cs="Calibri" w:eastAsia="Calibri"/>
          <w:color w:val="1A1A1A"/>
          <w:sz w:val="22"/>
        </w:rPr>
        <w:t>Delivery of Maturity Scorecard (O0–O10), Customer Journey Observability Coverage Map, Data Pipeline Health Map, Executive Decision Pack, and 3-Horizon Roadmap.</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Cloud, Hybrid and Tool-Agnostic Observability Readiness | Executive Brief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CRITICAL SERVICE &amp; DATA OBSERVABILITY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