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2563EB"/>
          <w:sz w:val="18"/>
        </w:rPr>
        <w:t>INTERNAL SALES PLAYBOOK | VITHI DATAOPS PRACTICE</w:t>
      </w:r>
    </w:p>
    <w:p>
      <w:pPr>
        <w:spacing w:before="0" w:after="80"/>
      </w:pPr>
      <w:r>
        <w:rPr>
          <w:rFonts w:ascii="Segoe UI" w:hAnsi="Segoe UI"/>
          <w:b/>
          <w:color w:val="0F172A"/>
          <w:sz w:val="40"/>
        </w:rPr>
        <w:t>Vithi DataOps Competitive Positioning &amp; Sales Battlecard</w:t>
      </w:r>
    </w:p>
    <w:p>
      <w:pPr>
        <w:spacing w:before="0" w:after="280"/>
      </w:pPr>
      <w:r>
        <w:rPr>
          <w:rFonts w:ascii="Segoe UI" w:hAnsi="Segoe UI"/>
          <w:color w:val="64748B"/>
          <w:sz w:val="21"/>
        </w:rPr>
        <w:t>Internal Strategy Playbook, Competitor Analysis, and Objection Handling Talk Tracks</w:t>
      </w:r>
    </w:p>
    <w:tbl>
      <w:tblPr>
        <w:tblW w:type="auto" w:w="0"/>
        <w:jc w:val="center"/>
        <w:tblLook w:firstColumn="1" w:firstRow="1" w:lastColumn="0" w:lastRow="0" w:noHBand="0" w:noVBand="1" w:val="04A0"/>
        <w:tblBorders>
          <w:top w:val="none"/>
          <w:bottom w:val="none"/>
          <w:left w:val="single" w:sz="24" w:space="0" w:color="FEE2E2"/>
          <w:right w:val="none"/>
          <w:insideH w:val="none"/>
          <w:insideV w:val="none"/>
        </w:tblBorders>
      </w:tblPr>
      <w:tblGrid>
        <w:gridCol w:w="9936"/>
      </w:tblGrid>
      <w:tr>
        <w:tc>
          <w:tcPr>
            <w:tcW w:type="dxa" w:w="9936"/>
            <w:shd w:fill="FEE2E2"/>
            <w:tcMar>
              <w:top w:w="100" w:type="dxa"/>
              <w:bottom w:w="100" w:type="dxa"/>
              <w:left w:w="140" w:type="dxa"/>
              <w:right w:w="140" w:type="dxa"/>
            </w:tcMar>
          </w:tcPr>
          <w:p>
            <w:pPr>
              <w:spacing w:before="0" w:after="40"/>
            </w:pPr>
            <w:r>
              <w:rPr>
                <w:rFonts w:ascii="Segoe UI" w:hAnsi="Segoe UI"/>
                <w:b/>
                <w:color w:val="1E3A8A"/>
                <w:sz w:val="19"/>
              </w:rPr>
              <w:t>CONFIDENTIALITY NOTICE</w:t>
              <w:br/>
            </w:r>
            <w:r>
              <w:rPr>
                <w:rFonts w:ascii="Segoe UI" w:hAnsi="Segoe UI"/>
                <w:color w:val="0F172A"/>
                <w:sz w:val="18"/>
              </w:rPr>
              <w:t>STRICTLY INTERNAL USE: This battlecard equips Vithi's business development leads, solution architects, and practice managers to position Vithi's DataOps offering against alternatives. Do not distribute externally.</w:t>
            </w:r>
          </w:p>
        </w:tc>
      </w:tr>
    </w:tbl>
    <w:p>
      <w:pPr>
        <w:spacing w:after="40"/>
      </w:pPr>
    </w:p>
    <w:p>
      <w:pPr>
        <w:keepNext/>
        <w:spacing w:before="280" w:after="80"/>
      </w:pPr>
      <w:r>
        <w:rPr>
          <w:rFonts w:ascii="Segoe UI" w:hAnsi="Segoe UI"/>
          <w:b/>
          <w:color w:val="1E3A8A"/>
          <w:sz w:val="26"/>
        </w:rPr>
        <w:t>1. Strategic Competitive Matrix: Where Vithi Wins</w:t>
      </w:r>
    </w:p>
    <w:p>
      <w:pPr>
        <w:spacing w:before="0" w:after="80" w:line="276" w:lineRule="auto"/>
      </w:pPr>
      <w:r>
        <w:rPr>
          <w:rFonts w:ascii="Segoe UI" w:hAnsi="Segoe UI"/>
          <w:color w:val="0F172A"/>
          <w:sz w:val="19"/>
        </w:rPr>
        <w:t>Prospects will compare Vithi's DataOps diagnostic against four distinct alternatives: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rPr>
          <w:tblHeader/>
          <w:cantSplit/>
        </w:trPr>
        <w:tc>
          <w:tcPr>
            <w:tcW w:type="dxa" w:w="2484"/>
            <w:shd w:fill="1E3A8A"/>
            <w:tcMar>
              <w:top w:w="120" w:type="dxa"/>
              <w:bottom w:w="120" w:type="dxa"/>
              <w:left w:w="120" w:type="dxa"/>
              <w:right w:w="120" w:type="dxa"/>
            </w:tcMar>
          </w:tcPr>
          <w:p>
            <w:pPr>
              <w:spacing w:before="0" w:after="0"/>
              <w:jc w:val="left"/>
            </w:pPr>
            <w:r>
              <w:rPr>
                <w:rFonts w:ascii="Segoe UI" w:hAnsi="Segoe UI"/>
                <w:b/>
                <w:color w:val="FFFFFF"/>
                <w:sz w:val="17"/>
              </w:rPr>
              <w:t>Competitor Category</w:t>
            </w:r>
          </w:p>
        </w:tc>
        <w:tc>
          <w:tcPr>
            <w:tcW w:type="dxa" w:w="2484"/>
            <w:shd w:fill="1E3A8A"/>
            <w:tcMar>
              <w:top w:w="120" w:type="dxa"/>
              <w:bottom w:w="120" w:type="dxa"/>
              <w:left w:w="120" w:type="dxa"/>
              <w:right w:w="120" w:type="dxa"/>
            </w:tcMar>
          </w:tcPr>
          <w:p>
            <w:pPr>
              <w:spacing w:before="0" w:after="0"/>
              <w:jc w:val="left"/>
            </w:pPr>
            <w:r>
              <w:rPr>
                <w:rFonts w:ascii="Segoe UI" w:hAnsi="Segoe UI"/>
                <w:b/>
                <w:color w:val="FFFFFF"/>
                <w:sz w:val="17"/>
              </w:rPr>
              <w:t>Competitor Profile &amp; Pitfalls</w:t>
            </w:r>
          </w:p>
        </w:tc>
        <w:tc>
          <w:tcPr>
            <w:tcW w:type="dxa" w:w="2484"/>
            <w:shd w:fill="1E3A8A"/>
            <w:tcMar>
              <w:top w:w="120" w:type="dxa"/>
              <w:bottom w:w="120" w:type="dxa"/>
              <w:left w:w="120" w:type="dxa"/>
              <w:right w:w="120" w:type="dxa"/>
            </w:tcMar>
          </w:tcPr>
          <w:p>
            <w:pPr>
              <w:spacing w:before="0" w:after="0"/>
              <w:jc w:val="left"/>
            </w:pPr>
            <w:r>
              <w:rPr>
                <w:rFonts w:ascii="Segoe UI" w:hAnsi="Segoe UI"/>
                <w:b/>
                <w:color w:val="FFFFFF"/>
                <w:sz w:val="17"/>
              </w:rPr>
              <w:t>Vithi Key Differentiator</w:t>
            </w:r>
          </w:p>
        </w:tc>
        <w:tc>
          <w:tcPr>
            <w:tcW w:type="dxa" w:w="2484"/>
            <w:shd w:fill="1E3A8A"/>
            <w:tcMar>
              <w:top w:w="120" w:type="dxa"/>
              <w:bottom w:w="120" w:type="dxa"/>
              <w:left w:w="120" w:type="dxa"/>
              <w:right w:w="120" w:type="dxa"/>
            </w:tcMar>
          </w:tcPr>
          <w:p>
            <w:pPr>
              <w:spacing w:before="0" w:after="0"/>
              <w:jc w:val="left"/>
            </w:pPr>
            <w:r>
              <w:rPr>
                <w:rFonts w:ascii="Segoe UI" w:hAnsi="Segoe UI"/>
                <w:b/>
                <w:color w:val="FFFFFF"/>
                <w:sz w:val="17"/>
              </w:rPr>
              <w:t>Winning Sales Pitch</w:t>
            </w:r>
          </w:p>
        </w:tc>
      </w:tr>
      <w:tr>
        <w:trPr>
          <w:cantSplit/>
        </w:trPr>
        <w:tc>
          <w:tcPr>
            <w:tcW w:type="dxa" w:w="2484"/>
            <w:shd w:fill="FFFFFF"/>
            <w:tcMar>
              <w:top w:w="60" w:type="dxa"/>
              <w:bottom w:w="60" w:type="dxa"/>
              <w:left w:w="80" w:type="dxa"/>
              <w:right w:w="80" w:type="dxa"/>
            </w:tcMar>
          </w:tcPr>
          <w:p>
            <w:pPr>
              <w:spacing w:before="0" w:after="0"/>
            </w:pPr>
            <w:r>
              <w:rPr>
                <w:rFonts w:ascii="Segoe UI" w:hAnsi="Segoe UI"/>
                <w:b/>
                <w:color w:val="0F172A"/>
                <w:sz w:val="17"/>
              </w:rPr>
              <w:t>Big 4 &amp; Global SIs (Accenture, Deloitte)</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Global brand credibility, but deploy junior analysts for 12–16 week theoretical PowerPoint assessments with zero hands-on fixes.</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Senior-led execution; 2-week evidence diagnostic; hands-on engineering fixes.</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We deliver an audited baseline and working runbooks in 2 weeks with 60% less engineering overhead.</w:t>
            </w:r>
          </w:p>
        </w:tc>
      </w:tr>
      <w:tr>
        <w:trPr>
          <w:cantSplit/>
        </w:trPr>
        <w:tc>
          <w:tcPr>
            <w:tcW w:type="dxa" w:w="2484"/>
            <w:shd w:fill="F8FAFC"/>
            <w:tcMar>
              <w:top w:w="60" w:type="dxa"/>
              <w:bottom w:w="60" w:type="dxa"/>
              <w:left w:w="80" w:type="dxa"/>
              <w:right w:w="80" w:type="dxa"/>
            </w:tcMar>
          </w:tcPr>
          <w:p>
            <w:pPr>
              <w:spacing w:before="0" w:after="0"/>
            </w:pPr>
            <w:r>
              <w:rPr>
                <w:rFonts w:ascii="Segoe UI" w:hAnsi="Segoe UI"/>
                <w:b/>
                <w:color w:val="0F172A"/>
                <w:sz w:val="17"/>
              </w:rPr>
              <w:t>AWS Well-Architected Reviews</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High brand trust and free tier, but limited to high-level cloud checklist. Fails to audit DAG logic, replay mechanics, or data contracts.</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Deep DataOps operational depth: audits recovery, idempotency, data quality, and runbooks.</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AWS Well-Architected tells you if your S3 bucket is secure; Vithi tells you why your 04:00 AM ETL job crashes.</w:t>
            </w:r>
          </w:p>
        </w:tc>
      </w:tr>
      <w:tr>
        <w:trPr>
          <w:cantSplit/>
        </w:trPr>
        <w:tc>
          <w:tcPr>
            <w:tcW w:type="dxa" w:w="2484"/>
            <w:shd w:fill="FFFFFF"/>
            <w:tcMar>
              <w:top w:w="60" w:type="dxa"/>
              <w:bottom w:w="60" w:type="dxa"/>
              <w:left w:w="80" w:type="dxa"/>
              <w:right w:w="80" w:type="dxa"/>
            </w:tcMar>
          </w:tcPr>
          <w:p>
            <w:pPr>
              <w:spacing w:before="0" w:after="0"/>
            </w:pPr>
            <w:r>
              <w:rPr>
                <w:rFonts w:ascii="Segoe UI" w:hAnsi="Segoe UI"/>
                <w:b/>
                <w:color w:val="0F172A"/>
                <w:sz w:val="17"/>
              </w:rPr>
              <w:t>Specialist Tool Vendors (Monte Carlo, Acceldata)</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High-feature software platforms with slick demos, but charge heavy annual licenses and require customer engineers to configure.</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Tool-agnostic diagnostic partner; evaluates existing AWS tools; zero software lock-in.</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We help you maximize CloudWatch, Glue, and Airflow before buying expensive new tools.</w:t>
            </w:r>
          </w:p>
        </w:tc>
      </w:tr>
      <w:tr>
        <w:trPr>
          <w:cantSplit/>
        </w:trPr>
        <w:tc>
          <w:tcPr>
            <w:tcW w:type="dxa" w:w="2484"/>
            <w:shd w:fill="F8FAFC"/>
            <w:tcMar>
              <w:top w:w="60" w:type="dxa"/>
              <w:bottom w:w="60" w:type="dxa"/>
              <w:left w:w="80" w:type="dxa"/>
              <w:right w:w="80" w:type="dxa"/>
            </w:tcMar>
          </w:tcPr>
          <w:p>
            <w:pPr>
              <w:spacing w:before="0" w:after="0"/>
            </w:pPr>
            <w:r>
              <w:rPr>
                <w:rFonts w:ascii="Segoe UI" w:hAnsi="Segoe UI"/>
                <w:b/>
                <w:color w:val="0F172A"/>
                <w:sz w:val="17"/>
              </w:rPr>
              <w:t>Boutique Data Partners (phData)</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Agile and technical, but often push open-ended, costly managed services contracts on Day 1.</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Disciplined 2-week diagnostic charter with fixed-scope 30/60/90-day implementation menu.</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We provide a low-friction diagnostic on 5–10 critical pipelines, proving technical value before long-term commitments.</w:t>
            </w:r>
          </w:p>
        </w:tc>
      </w:tr>
    </w:tbl>
    <w:p>
      <w:pPr>
        <w:spacing w:after="40"/>
      </w:pPr>
    </w:p>
    <w:p>
      <w:pPr>
        <w:keepNext/>
        <w:spacing w:before="280" w:after="80"/>
      </w:pPr>
      <w:r>
        <w:rPr>
          <w:rFonts w:ascii="Segoe UI" w:hAnsi="Segoe UI"/>
          <w:b/>
          <w:color w:val="1E3A8A"/>
          <w:sz w:val="26"/>
        </w:rPr>
        <w:t>2. Discovery Talk Tracks &amp; Objection Handling</w:t>
      </w:r>
    </w:p>
    <w:p>
      <w:pPr>
        <w:keepNext/>
        <w:spacing w:before="200" w:after="60"/>
      </w:pPr>
      <w:r>
        <w:rPr>
          <w:rFonts w:ascii="Segoe UI" w:hAnsi="Segoe UI"/>
          <w:b/>
          <w:color w:val="334155"/>
          <w:sz w:val="21"/>
        </w:rPr>
        <w:t>Objection 1: 'We already have CloudWatch and Airflow alerts. Why do we need an assessment?'</w:t>
      </w:r>
    </w:p>
    <w:p>
      <w:pPr>
        <w:spacing w:before="0" w:after="80" w:line="276" w:lineRule="auto"/>
      </w:pPr>
      <w:r>
        <w:rPr>
          <w:rFonts w:ascii="Segoe UI" w:hAnsi="Segoe UI"/>
          <w:b/>
          <w:color w:val="0F172A"/>
          <w:sz w:val="19"/>
        </w:rPr>
        <w:t xml:space="preserve">Vithi Talk Track: </w:t>
      </w:r>
      <w:r>
        <w:rPr>
          <w:rFonts w:ascii="Segoe UI" w:hAnsi="Segoe UI"/>
          <w:color w:val="0F172A"/>
          <w:sz w:val="19"/>
        </w:rPr>
        <w:t>"Airflow and CloudWatch alert you after an entire job has already crashed. Our assessment audits whether your pipeline has the automated data quality checks, schema drift blockers, and idempotent replay controls needed to prevent the failure from ever reaching your reporting marts in the first place."</w:t>
      </w:r>
    </w:p>
    <w:p>
      <w:pPr>
        <w:keepNext/>
        <w:spacing w:before="200" w:after="60"/>
      </w:pPr>
      <w:r>
        <w:rPr>
          <w:rFonts w:ascii="Segoe UI" w:hAnsi="Segoe UI"/>
          <w:b/>
          <w:color w:val="334155"/>
          <w:sz w:val="21"/>
        </w:rPr>
        <w:t>Objection 2: 'Our data engineers are overwhelmed. We don't have time for a consulting review.'</w:t>
      </w:r>
    </w:p>
    <w:p>
      <w:pPr>
        <w:spacing w:before="0" w:after="80" w:line="276" w:lineRule="auto"/>
      </w:pPr>
      <w:r>
        <w:rPr>
          <w:rFonts w:ascii="Segoe UI" w:hAnsi="Segoe UI"/>
          <w:b/>
          <w:color w:val="0F172A"/>
          <w:sz w:val="19"/>
        </w:rPr>
        <w:t xml:space="preserve">Vithi Talk Track: </w:t>
      </w:r>
      <w:r>
        <w:rPr>
          <w:rFonts w:ascii="Segoe UI" w:hAnsi="Segoe UI"/>
          <w:color w:val="0F172A"/>
          <w:sz w:val="19"/>
        </w:rPr>
        <w:t>"That is the exact reason to engage Vithi. Your team is overwhelmed because they are spending 300+ hours a month manually querying corrupted tables and restarting failed DAGs. We require less than 10 total interview hours across 2 weeks under read-only IAM access, and we give your engineers hundreds of hours of capacity back."</w:t>
      </w:r>
    </w:p>
    <w:p>
      <w:pPr>
        <w:keepNext/>
        <w:spacing w:before="200" w:after="60"/>
      </w:pPr>
      <w:r>
        <w:rPr>
          <w:rFonts w:ascii="Segoe UI" w:hAnsi="Segoe UI"/>
          <w:b/>
          <w:color w:val="334155"/>
          <w:sz w:val="21"/>
        </w:rPr>
        <w:t>Objection 3: 'Is our production data safe during your assessment?'</w:t>
      </w:r>
    </w:p>
    <w:p>
      <w:pPr>
        <w:spacing w:before="0" w:after="80" w:line="276" w:lineRule="auto"/>
      </w:pPr>
      <w:r>
        <w:rPr>
          <w:rFonts w:ascii="Segoe UI" w:hAnsi="Segoe UI"/>
          <w:b/>
          <w:color w:val="0F172A"/>
          <w:sz w:val="19"/>
        </w:rPr>
        <w:t xml:space="preserve">Vithi Talk Track: </w:t>
      </w:r>
      <w:r>
        <w:rPr>
          <w:rFonts w:ascii="Segoe UI" w:hAnsi="Segoe UI"/>
          <w:color w:val="0F172A"/>
          <w:sz w:val="19"/>
        </w:rPr>
        <w:t>"We operate under a strict 100% Read-Only Infosec Charter using pre-approved AWS SecurityAudit and ViewOnlyAccess roles. We inspect metadata, DAG configurations, CloudWatch metrics, and execution logs. We never inspect or query production customer payloads or sensitive PII records."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7"/>
      </w:rPr>
      <w:t>Confidential | DataOps Competitive Positioning &amp; Battlecard Guide |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VITHI IT SOLUTIONS | DATAOPS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