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2563EB"/>
          <w:sz w:val="18"/>
        </w:rPr>
        <w:t>EXECUTIVE BRIEFING | VITHI DATAOPS PRACTICE</w:t>
      </w:r>
    </w:p>
    <w:p>
      <w:pPr>
        <w:spacing w:before="0" w:after="80"/>
      </w:pPr>
      <w:r>
        <w:rPr>
          <w:rFonts w:ascii="Segoe UI" w:hAnsi="Segoe UI"/>
          <w:b/>
          <w:color w:val="0F172A"/>
          <w:sz w:val="40"/>
        </w:rPr>
        <w:t>Critical Data Pipeline Reliability Diagnostic — AWS Edition</w:t>
      </w:r>
    </w:p>
    <w:p>
      <w:pPr>
        <w:spacing w:before="0" w:after="280"/>
      </w:pPr>
      <w:r>
        <w:rPr>
          <w:rFonts w:ascii="Segoe UI" w:hAnsi="Segoe UI"/>
          <w:color w:val="64748B"/>
          <w:sz w:val="21"/>
        </w:rPr>
        <w:t>Evidence-Led Reliability &amp; SLA Confidence Assessment for Mission-Critical AWS Data Estates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DBEAFE"/>
            <w:tcMar>
              <w:top w:w="100" w:type="dxa"/>
              <w:bottom w:w="100" w:type="dxa"/>
              <w:left w:w="140" w:type="dxa"/>
              <w:right w:w="140" w:type="dxa"/>
            </w:tcMar>
          </w:tcPr>
          <w:p>
            <w:pPr>
              <w:spacing w:before="0" w:after="40"/>
            </w:pPr>
            <w:r>
              <w:rPr>
                <w:rFonts w:ascii="Segoe UI" w:hAnsi="Segoe UI"/>
                <w:b/>
                <w:color w:val="1E3A8A"/>
                <w:sz w:val="19"/>
              </w:rPr>
              <w:t>THE VITHI DATAOPS COMMITMENT</w:t>
              <w:br/>
            </w:r>
            <w:r>
              <w:rPr>
                <w:rFonts w:ascii="Segoe UI" w:hAnsi="Segoe UI"/>
                <w:color w:val="0F172A"/>
                <w:sz w:val="18"/>
              </w:rPr>
              <w:t>ENGAGEMENT SCOPE: A focused two-week evidence diagnostic across 5–10 Tier-1 data pipelines (MWAA/Airflow, AWS Glue, EMR Spark, Step Functions, Redshift). Delivers an audited reliability baseline, root-cause failure map, and prioritized 30/60/90-day stabilization roadmap.</w:t>
            </w:r>
          </w:p>
        </w:tc>
      </w:tr>
    </w:tbl>
    <w:p>
      <w:pPr>
        <w:spacing w:after="40"/>
      </w:pPr>
    </w:p>
    <w:p>
      <w:pPr>
        <w:keepNext/>
        <w:spacing w:before="280" w:after="80"/>
      </w:pPr>
      <w:r>
        <w:rPr>
          <w:rFonts w:ascii="Segoe UI" w:hAnsi="Segoe UI"/>
          <w:b/>
          <w:color w:val="1E3A8A"/>
          <w:sz w:val="26"/>
        </w:rPr>
        <w:t>1. The Enterprise Data Pipeline Challenge</w:t>
      </w:r>
    </w:p>
    <w:p>
      <w:pPr>
        <w:spacing w:before="0" w:after="80" w:line="276" w:lineRule="auto"/>
      </w:pPr>
      <w:r>
        <w:rPr>
          <w:rFonts w:ascii="Segoe UI" w:hAnsi="Segoe UI"/>
          <w:color w:val="0F172A"/>
          <w:sz w:val="19"/>
        </w:rPr>
        <w:t>Modern cloud data platforms look technically advanced on architecture diagrams, but frequently run with acute operational vulnerability. Data engineering squads spend 40% to 60% of their weekly capacity firefighting silent batch failures, debugging corrupted staging tables, and manually restarting stalled DAGs while business leadership loses confidence in morning reports.</w:t>
      </w:r>
    </w:p>
    <w:p>
      <w:pPr>
        <w:keepNext/>
        <w:spacing w:before="200" w:after="60"/>
      </w:pPr>
      <w:r>
        <w:rPr>
          <w:rFonts w:ascii="Segoe UI" w:hAnsi="Segoe UI"/>
          <w:b/>
          <w:color w:val="334155"/>
          <w:sz w:val="21"/>
        </w:rPr>
        <w:t>Acute Operational Catalysts for Review:</w:t>
      </w:r>
    </w:p>
    <w:p>
      <w:pPr>
        <w:pStyle w:val="ListBullet"/>
        <w:spacing w:before="0" w:after="60" w:line="276" w:lineRule="auto"/>
      </w:pPr>
      <w:r>
        <w:rPr>
          <w:rFonts w:ascii="Segoe UI" w:hAnsi="Segoe UI"/>
          <w:b/>
          <w:color w:val="0F172A"/>
          <w:sz w:val="19"/>
        </w:rPr>
        <w:t xml:space="preserve">1. Silent Batch Failures &amp; Missed SLAs: </w:t>
      </w:r>
      <w:r>
        <w:rPr>
          <w:rFonts w:ascii="Segoe UI" w:hAnsi="Segoe UI"/>
          <w:color w:val="0F172A"/>
          <w:sz w:val="19"/>
        </w:rPr>
        <w:t>Airflow DAGs fail silently overnight or overrun their allowable execution window, causing T+1 reporting delays for executives.</w:t>
      </w:r>
    </w:p>
    <w:p>
      <w:pPr>
        <w:pStyle w:val="ListBullet"/>
        <w:spacing w:before="0" w:after="60" w:line="276" w:lineRule="auto"/>
      </w:pPr>
      <w:r>
        <w:rPr>
          <w:rFonts w:ascii="Segoe UI" w:hAnsi="Segoe UI"/>
          <w:b/>
          <w:color w:val="0F172A"/>
          <w:sz w:val="19"/>
        </w:rPr>
        <w:t xml:space="preserve">2. Upstream Schema Drift &amp; Data Corruption: </w:t>
      </w:r>
      <w:r>
        <w:rPr>
          <w:rFonts w:ascii="Segoe UI" w:hAnsi="Segoe UI"/>
          <w:color w:val="0F172A"/>
          <w:sz w:val="19"/>
        </w:rPr>
        <w:t>Unannounced schema alterations in upstream transactional tables break downstream analytics, discovered days later by business users.</w:t>
      </w:r>
    </w:p>
    <w:p>
      <w:pPr>
        <w:pStyle w:val="ListBullet"/>
        <w:spacing w:before="0" w:after="60" w:line="276" w:lineRule="auto"/>
      </w:pPr>
      <w:r>
        <w:rPr>
          <w:rFonts w:ascii="Segoe UI" w:hAnsi="Segoe UI"/>
          <w:b/>
          <w:color w:val="0F172A"/>
          <w:sz w:val="19"/>
        </w:rPr>
        <w:t xml:space="preserve">3. Complex Root-Cause Isolation (High MTTR): </w:t>
      </w:r>
      <w:r>
        <w:rPr>
          <w:rFonts w:ascii="Segoe UI" w:hAnsi="Segoe UI"/>
          <w:color w:val="0F172A"/>
          <w:sz w:val="19"/>
        </w:rPr>
        <w:t>When a multi-step ETL pipeline breaks, isolating whether the failure originated in Spark, Glue, or network timeouts requires hours of manual log parsing.</w:t>
      </w:r>
    </w:p>
    <w:p>
      <w:pPr>
        <w:pStyle w:val="ListBullet"/>
        <w:spacing w:before="0" w:after="60" w:line="276" w:lineRule="auto"/>
      </w:pPr>
      <w:r>
        <w:rPr>
          <w:rFonts w:ascii="Segoe UI" w:hAnsi="Segoe UI"/>
          <w:b/>
          <w:color w:val="0F172A"/>
          <w:sz w:val="19"/>
        </w:rPr>
        <w:t xml:space="preserve">4. Unsafe Replay &amp; Recovery Mechanics: </w:t>
      </w:r>
      <w:r>
        <w:rPr>
          <w:rFonts w:ascii="Segoe UI" w:hAnsi="Segoe UI"/>
          <w:color w:val="0F172A"/>
          <w:sz w:val="19"/>
        </w:rPr>
        <w:t>Pipelines lack idempotent design, causing retries to produce duplicate rows, unkeyed staging bloat, or inconsistent aggregations.</w:t>
      </w:r>
    </w:p>
    <w:p>
      <w:pPr>
        <w:keepNext/>
        <w:spacing w:before="280" w:after="80"/>
      </w:pPr>
      <w:r>
        <w:rPr>
          <w:rFonts w:ascii="Segoe UI" w:hAnsi="Segoe UI"/>
          <w:b/>
          <w:color w:val="1E3A8A"/>
          <w:sz w:val="26"/>
        </w:rPr>
        <w:t>2. Diagnostic Evaluation Dimensions (D1–D8)</w:t>
      </w:r>
    </w:p>
    <w:p>
      <w:pPr>
        <w:spacing w:before="0" w:after="80" w:line="276" w:lineRule="auto"/>
      </w:pPr>
      <w:r>
        <w:rPr>
          <w:rFonts w:ascii="Segoe UI" w:hAnsi="Segoe UI"/>
          <w:color w:val="0F172A"/>
          <w:sz w:val="19"/>
        </w:rPr>
        <w:t>Vithi evaluates critical data pipelines against 8 operational DataOps dimensions rooted in demonstrated evidence, not subjective opinion: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20" w:type="dxa"/>
              <w:bottom w:w="120" w:type="dxa"/>
              <w:left w:w="120" w:type="dxa"/>
              <w:right w:w="120" w:type="dxa"/>
            </w:tcMar>
          </w:tcPr>
          <w:p>
            <w:pPr>
              <w:spacing w:before="0" w:after="0"/>
              <w:jc w:val="left"/>
            </w:pPr>
            <w:r>
              <w:rPr>
                <w:rFonts w:ascii="Segoe UI" w:hAnsi="Segoe UI"/>
                <w:b/>
                <w:color w:val="FFFFFF"/>
                <w:sz w:val="17"/>
              </w:rPr>
              <w:t>DataOps Dimension</w:t>
            </w:r>
          </w:p>
        </w:tc>
        <w:tc>
          <w:tcPr>
            <w:tcW w:type="dxa" w:w="3312"/>
            <w:shd w:fill="1E3A8A"/>
            <w:tcMar>
              <w:top w:w="120" w:type="dxa"/>
              <w:bottom w:w="120" w:type="dxa"/>
              <w:left w:w="120" w:type="dxa"/>
              <w:right w:w="120" w:type="dxa"/>
            </w:tcMar>
          </w:tcPr>
          <w:p>
            <w:pPr>
              <w:spacing w:before="0" w:after="0"/>
              <w:jc w:val="left"/>
            </w:pPr>
            <w:r>
              <w:rPr>
                <w:rFonts w:ascii="Segoe UI" w:hAnsi="Segoe UI"/>
                <w:b/>
                <w:color w:val="FFFFFF"/>
                <w:sz w:val="17"/>
              </w:rPr>
              <w:t>Core Operational Focus</w:t>
            </w:r>
          </w:p>
        </w:tc>
        <w:tc>
          <w:tcPr>
            <w:tcW w:type="dxa" w:w="3312"/>
            <w:shd w:fill="1E3A8A"/>
            <w:tcMar>
              <w:top w:w="120" w:type="dxa"/>
              <w:bottom w:w="120" w:type="dxa"/>
              <w:left w:w="120" w:type="dxa"/>
              <w:right w:w="120" w:type="dxa"/>
            </w:tcMar>
          </w:tcPr>
          <w:p>
            <w:pPr>
              <w:spacing w:before="0" w:after="0"/>
              <w:jc w:val="left"/>
            </w:pPr>
            <w:r>
              <w:rPr>
                <w:rFonts w:ascii="Segoe UI" w:hAnsi="Segoe UI"/>
                <w:b/>
                <w:color w:val="FFFFFF"/>
                <w:sz w:val="17"/>
              </w:rPr>
              <w:t>Demonstrated Evidence Source</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D1: Pipeline Orchestration &amp; DAG Resilience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Dependency mapping, retry backoffs, task timeouts, deadlocks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MWAA Airflow DAGs, Step Functions JSON, EventBridge rules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D2: Data Quality &amp; Schema Drift Gating</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Automated freshness checks, null-rate tests, schema contract gates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Great Expectations / Soda rules, Glue Data Quality, dbt tests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D3: SLA, Freshness &amp; Delivery Latency</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Critical milestone monitoring, T+1 SLAs, consumer delay alerts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Airflow SLA callbacks, CloudWatch custom metrics, Datadog</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D4: Error Handling &amp; Replay Recovery</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Idempotent design, checkpointing, replay mechanics, dead-letter queues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S3 staging partitioning, Glue bookmark configs, Redshift upserts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D5: Incident Response &amp; Runbook Readiness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P1 alerting thresholds, failure taxonomy, 1-click triage runbooks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PagerDuty integration, Jira service desks, operational wikis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D6: CI/CD, Testing &amp; Release Hygiene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Data pipeline unit tests, staging dry-runs, automated deployment gates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GitHub Actions / GitLab CI, Terraform/CDK data infrastructure</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D7: Telemetry, Logging &amp; Lineage Visibility</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End-to-end trace correlation, job duration tracking, column lineage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OpenLineage / DataHub, CloudWatch logs, Spark event logs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D8: Resource Saturation &amp; FinOps Governance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Spark worker sizing, Redshift queue saturation, idle compute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AWS Cost Explorer, Glue DPU metrics, EMR cluster utilisation</w:t>
            </w:r>
          </w:p>
        </w:tc>
      </w:tr>
    </w:tbl>
    <w:p>
      <w:pPr>
        <w:spacing w:after="40"/>
      </w:pPr>
    </w:p>
    <w:p>
      <w:pPr>
        <w:keepNext/>
        <w:spacing w:before="280" w:after="80"/>
      </w:pPr>
      <w:r>
        <w:rPr>
          <w:rFonts w:ascii="Segoe UI" w:hAnsi="Segoe UI"/>
          <w:b/>
          <w:color w:val="1E3A8A"/>
          <w:sz w:val="26"/>
        </w:rPr>
        <w:t>3. Quantified Operational Outcomes (Illustrative Opportunity Areas)</w:t>
      </w:r>
    </w:p>
    <w:p>
      <w:pPr>
        <w:spacing w:before="0" w:after="80" w:line="276" w:lineRule="auto"/>
      </w:pPr>
      <w:r>
        <w:rPr>
          <w:rFonts w:ascii="Segoe UI" w:hAnsi="Segoe UI"/>
          <w:color w:val="0F172A"/>
          <w:sz w:val="19"/>
        </w:rPr>
        <w:t>By transitioning from reactive pipeline firefighting to evidence-backed DataOps governance, enterprise engineering teams realize dramatic capacity and stability improvements: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rPr>
          <w:tblHeader/>
          <w:cantSplit/>
        </w:trPr>
        <w:tc>
          <w:tcPr>
            <w:tcW w:type="dxa" w:w="2484"/>
            <w:shd w:fill="334155"/>
            <w:tcMar>
              <w:top w:w="120" w:type="dxa"/>
              <w:bottom w:w="120" w:type="dxa"/>
              <w:left w:w="120" w:type="dxa"/>
              <w:right w:w="120" w:type="dxa"/>
            </w:tcMar>
          </w:tcPr>
          <w:p>
            <w:pPr>
              <w:spacing w:before="0" w:after="0"/>
              <w:jc w:val="left"/>
            </w:pPr>
            <w:r>
              <w:rPr>
                <w:rFonts w:ascii="Segoe UI" w:hAnsi="Segoe UI"/>
                <w:b/>
                <w:color w:val="FFFFFF"/>
                <w:sz w:val="17"/>
              </w:rPr>
              <w:t>Operational Metric</w:t>
            </w:r>
          </w:p>
        </w:tc>
        <w:tc>
          <w:tcPr>
            <w:tcW w:type="dxa" w:w="2484"/>
            <w:shd w:fill="334155"/>
            <w:tcMar>
              <w:top w:w="120" w:type="dxa"/>
              <w:bottom w:w="120" w:type="dxa"/>
              <w:left w:w="120" w:type="dxa"/>
              <w:right w:w="120" w:type="dxa"/>
            </w:tcMar>
          </w:tcPr>
          <w:p>
            <w:pPr>
              <w:spacing w:before="0" w:after="0"/>
              <w:jc w:val="left"/>
            </w:pPr>
            <w:r>
              <w:rPr>
                <w:rFonts w:ascii="Segoe UI" w:hAnsi="Segoe UI"/>
                <w:b/>
                <w:color w:val="FFFFFF"/>
                <w:sz w:val="17"/>
              </w:rPr>
              <w:t>Pre-Assessment Baseline</w:t>
            </w:r>
          </w:p>
        </w:tc>
        <w:tc>
          <w:tcPr>
            <w:tcW w:type="dxa" w:w="2484"/>
            <w:shd w:fill="334155"/>
            <w:tcMar>
              <w:top w:w="120" w:type="dxa"/>
              <w:bottom w:w="120" w:type="dxa"/>
              <w:left w:w="120" w:type="dxa"/>
              <w:right w:w="120" w:type="dxa"/>
            </w:tcMar>
          </w:tcPr>
          <w:p>
            <w:pPr>
              <w:spacing w:before="0" w:after="0"/>
              <w:jc w:val="left"/>
            </w:pPr>
            <w:r>
              <w:rPr>
                <w:rFonts w:ascii="Segoe UI" w:hAnsi="Segoe UI"/>
                <w:b/>
                <w:color w:val="FFFFFF"/>
                <w:sz w:val="17"/>
              </w:rPr>
              <w:t>Post-DataOps Target State</w:t>
            </w:r>
          </w:p>
        </w:tc>
        <w:tc>
          <w:tcPr>
            <w:tcW w:type="dxa" w:w="2484"/>
            <w:shd w:fill="334155"/>
            <w:tcMar>
              <w:top w:w="120" w:type="dxa"/>
              <w:bottom w:w="120" w:type="dxa"/>
              <w:left w:w="120" w:type="dxa"/>
              <w:right w:w="120" w:type="dxa"/>
            </w:tcMar>
          </w:tcPr>
          <w:p>
            <w:pPr>
              <w:spacing w:before="0" w:after="0"/>
              <w:jc w:val="left"/>
            </w:pPr>
            <w:r>
              <w:rPr>
                <w:rFonts w:ascii="Segoe UI" w:hAnsi="Segoe UI"/>
                <w:b/>
                <w:color w:val="FFFFFF"/>
                <w:sz w:val="17"/>
              </w:rPr>
              <w:t>Strategic Operational Value</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Pipeline Incident MTTR</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12 to 16 hours / failure</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&lt;90 minutes</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85%+ reduction in downtime; rapid recovery before business impact</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color w:val="0F172A"/>
                <w:sz w:val="17"/>
              </w:rPr>
              <w:t>Batch Pipeline Failure Rate</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15% to 25% weekly failures</w:t>
            </w:r>
          </w:p>
        </w:tc>
        <w:tc>
          <w:tcPr>
            <w:tcW w:type="dxa" w:w="2484"/>
            <w:shd w:fill="F8FAFC"/>
            <w:tcMar>
              <w:top w:w="60" w:type="dxa"/>
              <w:bottom w:w="60" w:type="dxa"/>
              <w:left w:w="80" w:type="dxa"/>
              <w:right w:w="80" w:type="dxa"/>
            </w:tcMar>
          </w:tcPr>
          <w:p>
            <w:pPr>
              <w:spacing w:before="0" w:after="0"/>
            </w:pPr>
            <w:r>
              <w:rPr>
                <w:rFonts w:ascii="Segoe UI" w:hAnsi="Segoe UI"/>
                <w:b/>
                <w:color w:val="166534"/>
                <w:sz w:val="17"/>
              </w:rPr>
              <w:t>&lt;3% isolated failure rate</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Eliminates recurring overnight job crashes and manual restarts</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Data Quality Defect Lag</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3 to 5 days (User reported)</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&lt;10 mins (Automated gate)</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Prevents corrupted data from polluting executive reports and dashboards</w:t>
            </w:r>
          </w:p>
        </w:tc>
      </w:tr>
      <w:tr>
        <w:trPr>
          <w:cantSplit/>
        </w:trPr>
        <w:tc>
          <w:tcPr>
            <w:tcW w:type="dxa" w:w="2484"/>
            <w:shd w:fill="F8FAFC"/>
            <w:tcMar>
              <w:top w:w="60" w:type="dxa"/>
              <w:bottom w:w="60" w:type="dxa"/>
              <w:left w:w="80" w:type="dxa"/>
              <w:right w:w="80" w:type="dxa"/>
            </w:tcMar>
          </w:tcPr>
          <w:p>
            <w:pPr>
              <w:spacing w:before="0" w:after="0"/>
            </w:pPr>
            <w:r>
              <w:rPr>
                <w:rFonts w:ascii="Segoe UI" w:hAnsi="Segoe UI"/>
                <w:b/>
                <w:color w:val="0F172A"/>
                <w:sz w:val="17"/>
              </w:rPr>
              <w:t>Engineering Triage Capacity</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300+ hrs/mo lost to firefighting</w:t>
            </w:r>
          </w:p>
        </w:tc>
        <w:tc>
          <w:tcPr>
            <w:tcW w:type="dxa" w:w="2484"/>
            <w:shd w:fill="F8FAFC"/>
            <w:tcMar>
              <w:top w:w="60" w:type="dxa"/>
              <w:bottom w:w="60" w:type="dxa"/>
              <w:left w:w="80" w:type="dxa"/>
              <w:right w:w="80" w:type="dxa"/>
            </w:tcMar>
          </w:tcPr>
          <w:p>
            <w:pPr>
              <w:spacing w:before="0" w:after="0"/>
            </w:pPr>
            <w:r>
              <w:rPr>
                <w:rFonts w:ascii="Segoe UI" w:hAnsi="Segoe UI"/>
                <w:b/>
                <w:color w:val="166534"/>
                <w:sz w:val="17"/>
              </w:rPr>
              <w:t>Recovered 320+ hrs/mo</w:t>
            </w:r>
          </w:p>
        </w:tc>
        <w:tc>
          <w:tcPr>
            <w:tcW w:type="dxa" w:w="2484"/>
            <w:shd w:fill="F8FAFC"/>
            <w:tcMar>
              <w:top w:w="60" w:type="dxa"/>
              <w:bottom w:w="60" w:type="dxa"/>
              <w:left w:w="80" w:type="dxa"/>
              <w:right w:w="80" w:type="dxa"/>
            </w:tcMar>
          </w:tcPr>
          <w:p>
            <w:pPr>
              <w:spacing w:before="0" w:after="0"/>
            </w:pPr>
            <w:r>
              <w:rPr>
                <w:rFonts w:ascii="Segoe UI" w:hAnsi="Segoe UI"/>
                <w:color w:val="0F172A"/>
                <w:sz w:val="17"/>
              </w:rPr>
              <w:t>Engineers re-allocated from manual SQL maintenance to feature delivery</w:t>
            </w:r>
          </w:p>
        </w:tc>
      </w:tr>
      <w:tr>
        <w:trPr>
          <w:cantSplit/>
        </w:trPr>
        <w:tc>
          <w:tcPr>
            <w:tcW w:type="dxa" w:w="2484"/>
            <w:shd w:fill="FFFFFF"/>
            <w:tcMar>
              <w:top w:w="60" w:type="dxa"/>
              <w:bottom w:w="60" w:type="dxa"/>
              <w:left w:w="80" w:type="dxa"/>
              <w:right w:w="80" w:type="dxa"/>
            </w:tcMar>
          </w:tcPr>
          <w:p>
            <w:pPr>
              <w:spacing w:before="0" w:after="0"/>
            </w:pPr>
            <w:r>
              <w:rPr>
                <w:rFonts w:ascii="Segoe UI" w:hAnsi="Segoe UI"/>
                <w:b/>
                <w:color w:val="0F172A"/>
                <w:sz w:val="17"/>
              </w:rPr>
              <w:t>Critical SLA Delivery Rate</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75% to 85% on-time delivery</w:t>
            </w:r>
          </w:p>
        </w:tc>
        <w:tc>
          <w:tcPr>
            <w:tcW w:type="dxa" w:w="2484"/>
            <w:shd w:fill="FFFFFF"/>
            <w:tcMar>
              <w:top w:w="60" w:type="dxa"/>
              <w:bottom w:w="60" w:type="dxa"/>
              <w:left w:w="80" w:type="dxa"/>
              <w:right w:w="80" w:type="dxa"/>
            </w:tcMar>
          </w:tcPr>
          <w:p>
            <w:pPr>
              <w:spacing w:before="0" w:after="0"/>
            </w:pPr>
            <w:r>
              <w:rPr>
                <w:rFonts w:ascii="Segoe UI" w:hAnsi="Segoe UI"/>
                <w:b/>
                <w:color w:val="166534"/>
                <w:sz w:val="17"/>
              </w:rPr>
              <w:t>99.9% predictable delivery</w:t>
            </w:r>
          </w:p>
        </w:tc>
        <w:tc>
          <w:tcPr>
            <w:tcW w:type="dxa" w:w="2484"/>
            <w:shd w:fill="FFFFFF"/>
            <w:tcMar>
              <w:top w:w="60" w:type="dxa"/>
              <w:bottom w:w="60" w:type="dxa"/>
              <w:left w:w="80" w:type="dxa"/>
              <w:right w:w="80" w:type="dxa"/>
            </w:tcMar>
          </w:tcPr>
          <w:p>
            <w:pPr>
              <w:spacing w:before="0" w:after="0"/>
            </w:pPr>
            <w:r>
              <w:rPr>
                <w:rFonts w:ascii="Segoe UI" w:hAnsi="Segoe UI"/>
                <w:color w:val="0F172A"/>
                <w:sz w:val="17"/>
              </w:rPr>
              <w:t>Guarantees morning financial reporting and regulatory compliance</w:t>
            </w:r>
          </w:p>
        </w:tc>
      </w:tr>
    </w:tbl>
    <w:p>
      <w:pPr>
        <w:spacing w:after="4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1F5F9"/>
            <w:tcMar>
              <w:top w:w="100" w:type="dxa"/>
              <w:bottom w:w="100" w:type="dxa"/>
              <w:left w:w="140" w:type="dxa"/>
              <w:right w:w="140" w:type="dxa"/>
            </w:tcMar>
          </w:tcPr>
          <w:p>
            <w:pPr>
              <w:spacing w:before="0" w:after="40"/>
            </w:pPr>
            <w:r>
              <w:rPr>
                <w:rFonts w:ascii="Segoe UI" w:hAnsi="Segoe UI"/>
                <w:b/>
                <w:color w:val="1E3A8A"/>
                <w:sz w:val="19"/>
              </w:rPr>
              <w:t>DIAGNOSTIC CAVEAT &amp; BENCHMARK GOVERNANCE</w:t>
              <w:br/>
            </w:r>
            <w:r>
              <w:rPr>
                <w:rFonts w:ascii="Segoe UI" w:hAnsi="Segoe UI"/>
                <w:color w:val="0F172A"/>
                <w:sz w:val="18"/>
              </w:rPr>
              <w:t>MEASUREMENT INTEGRITY &amp; BENCHMARK CAVEAT: Operational baselines, MTTR reductions, and capacity recoveries referenced are illustrative opportunities observed in peer enterprise data environments. Final realized benefits depend strictly upon customer data architecture, evidence availability, baseline validation, and agreed implementation scope.</w:t>
            </w:r>
          </w:p>
        </w:tc>
      </w:tr>
    </w:tbl>
    <w:p>
      <w:pPr>
        <w:spacing w:after="4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Critical Data Pipeline Reliability Assessment | AWS Edition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AWS DATAOPS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