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18"/>
        </w:rPr>
        <w:t>DIAGNOSTIC INTAKE | VITHI DATAOPS PRACTICE</w:t>
      </w:r>
    </w:p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Critical Data Pipeline Reliability Pre-Discovery Intake</w:t>
      </w:r>
    </w:p>
    <w:p>
      <w:pPr>
        <w:spacing w:before="0" w:after="280"/>
      </w:pPr>
      <w:r>
        <w:rPr>
          <w:rFonts w:ascii="Segoe UI" w:hAnsi="Segoe UI"/>
          <w:color w:val="64748B"/>
          <w:sz w:val="21"/>
        </w:rPr>
        <w:t>Preliminary Scoping Questionnaire for Rapid Assessment (2-Page Business Intake)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This pre-discovery questionnaire captures high-level architectural and operational parameters prior to the technical kickoff. It requires approximately 15 minutes to complete and ensures the 2-week diagnostic targets the pipelines of highest business impact.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1. Enterprise Scope &amp; Stakeholders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Intake Field</w:t>
            </w:r>
          </w:p>
        </w:tc>
        <w:tc>
          <w:tcPr>
            <w:tcW w:type="dxa" w:w="4968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Response / Notes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Client Enterprise &amp; Business Unit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[Enter Company Name, Primary Division &amp; Core Industry]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Executive Sponsor (VP / Head of Data / CDO)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[Name, Title, Business Ownership]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Lead Data Architect / Engineering Squad Lead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[Name, Contact, Technical Scope]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Primary Cloud Environment(s)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[e.g. AWS Multi-Account, Hybrid On-Premise Connection, Redshift / Snowflake]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2. Critical Pipeline Identification (Top 3–5 Target Pipelines)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Identify the top 3 to 5 data pipelines or reporting workloads where delays or failures cause severe business disruption: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Pipeline ID / Name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Business Process Supported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Core Tech Stack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Delivery SLA Window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Failure Mode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1 (e.g. Daily P&amp;L)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Executive Risk &amp; Wealth Management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Airflow, Spark on EMR, Redshift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06:00 AM EST Daily (Hard SLA)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Upstream DB schema drift; task timeouts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2 (e.g. Fraud Scoring)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Card Transaction Authorization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Kafka, Glue Streaming, Aurora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Near Real-Time (&lt;30 sec)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Kafka consumer lag; memory OOM crashes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3 (e.g. Billing Extract)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Monthly Customer Invoicing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Step Functions, Glue ETL, S3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1st of Month 02:00 UTC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Job retries generate duplicate line items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4 (Candidate)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pipeline name]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[Tech stack components]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SLA]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[Common breakdown]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5 (Candidate)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pipeline name]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[Tech stack components]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SLA]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[Common breakdown]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3. Operational Pain &amp; Diagnostic Objectives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Dimension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Current State Pain Assessment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Expected Outcome from Review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Failure Frequency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Weekly batch delays / 4+ critical incidents/month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Root-cause elimination; automated circuit breakers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MTTR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Engineers burn 8–14 hours debugging each major failure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Standardized runbooks &amp; 1-click triage (&lt;90m MTTR)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Quality Checking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Checks are manual ad-hoc SQL queries; users catch errors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Automated contract testing at ingestion boundary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Replay &amp; Recovery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Manual backfilling is high-risk; causes duplicate rows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Automated, idempotent replay controls &amp; checkpoints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Target Decision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Decide on tooling, SRE error budgets, or delivery sprint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Executive decision pack with prioritized 90-day roadmap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DataOps Pre-Discovery Form | Diagnostic Intake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