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2563EB"/>
          <w:sz w:val="18"/>
        </w:rPr>
        <w:t>SAMPLE DELIVERABLE REPORT | VITHI DATAOPS PRACTICE</w:t>
      </w:r>
    </w:p>
    <w:p>
      <w:pPr>
        <w:spacing w:before="0" w:after="80"/>
      </w:pPr>
      <w:r>
        <w:rPr>
          <w:rFonts w:ascii="Segoe UI" w:hAnsi="Segoe UI"/>
          <w:b/>
          <w:color w:val="0F172A"/>
          <w:sz w:val="40"/>
        </w:rPr>
        <w:t>DataOps Diagnostic Executive Readout &amp; Strategic Roadmap</w:t>
      </w:r>
    </w:p>
    <w:p>
      <w:pPr>
        <w:spacing w:before="0" w:after="280"/>
      </w:pPr>
      <w:r>
        <w:rPr>
          <w:rFonts w:ascii="Segoe UI" w:hAnsi="Segoe UI"/>
          <w:color w:val="64748B"/>
          <w:sz w:val="21"/>
        </w:rPr>
        <w:t>Final Engagement Readout for Enterprise Data Leadership (Sample Deliverable)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This document illustrates the final executive readout delivered to customer leadership (CIO, CDO, Head of Data Engineering) at the completion of Vithi's 2-week diagnostic: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1. Engagement Scope &amp; Selected Tier-1 Pipelines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The diagnostic evaluated 8 mission-critical data pipelines supporting Wealth Management, Risk Analytics, and Customer Billing. Evidence was gathered under read-only access across 90 days of execution logs.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2. Overall Maturity Score &amp; Domain Heatmap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Current Maturity: Level 2.05 / 5.0 (Defined / Reactive). The estate exhibits strong raw AWS infrastructure capabilities, but suffers from severe reliability gaps in automated data quality checks, schema evolution governance, and idempotent replay controls.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3. Top 3 Systemic Failure Modes Uncovered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1. Unannounced Schema Drift: </w:t>
      </w:r>
      <w:r>
        <w:rPr>
          <w:rFonts w:ascii="Segoe UI" w:hAnsi="Segoe UI"/>
          <w:color w:val="0F172A"/>
          <w:sz w:val="19"/>
        </w:rPr>
        <w:t>Upstream transactional database migrations regularly alter column types without coordination, crashing downstream Glue Spark ETL jobs.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2. Task Concurrency &amp; Memory Exhaustion: </w:t>
      </w:r>
      <w:r>
        <w:rPr>
          <w:rFonts w:ascii="Segoe UI" w:hAnsi="Segoe UI"/>
          <w:color w:val="0F172A"/>
          <w:sz w:val="19"/>
        </w:rPr>
        <w:t>Nightly batch pipelines experience memory spikes and connection pooling starvation during month-end peaks, causing silent 4-hour delays.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3. Unsafe Replay &amp; Missing Idempotency: </w:t>
      </w:r>
      <w:r>
        <w:rPr>
          <w:rFonts w:ascii="Segoe UI" w:hAnsi="Segoe UI"/>
          <w:color w:val="0F172A"/>
          <w:sz w:val="19"/>
        </w:rPr>
        <w:t>When a pipeline fails mid-batch, on-call engineers execute manual SQL delete-and-reinsert commands, risking duplicate records.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4. Quantified Cost-of-Failure &amp; Capacity Opportunity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Over the past 12 months, pipeline instability resulted in: 320 hours/month of senior engineering capacity consumed by manual triage, 14 major customer reporting SLA breaches, and an average MTTR of 14 hours per incident. Transitioning to Level 4 DataOps governance unlocks over 3,800 engineering hours annually.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5. Prioritized 30/60/90-Day Implementation Roadmap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Horizon 1 (Days 0–30: Triage &amp; Quick Wins): </w:t>
      </w:r>
      <w:r>
        <w:rPr>
          <w:rFonts w:ascii="Segoe UI" w:hAnsi="Segoe UI"/>
          <w:color w:val="0F172A"/>
          <w:sz w:val="19"/>
        </w:rPr>
        <w:t>Silence non-actionable alarms; attach runbook URLs to 100% of P1 pipeline alerts; tune Airflow worker concurrency slots.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Horizon 2 (Days 31–60: Quality &amp; Idempotency): </w:t>
      </w:r>
      <w:r>
        <w:rPr>
          <w:rFonts w:ascii="Segoe UI" w:hAnsi="Segoe UI"/>
          <w:color w:val="0F172A"/>
          <w:sz w:val="19"/>
        </w:rPr>
        <w:t>Deploy Great Expectations schema drift gates; enforce idempotent MERGE logic across top-8 critical pipelines.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0F172A"/>
          <w:sz w:val="19"/>
        </w:rPr>
        <w:t xml:space="preserve">Horizon 3 (Days 61–90: Governance &amp; Scale): </w:t>
      </w:r>
      <w:r>
        <w:rPr>
          <w:rFonts w:ascii="Segoe UI" w:hAnsi="Segoe UI"/>
          <w:color w:val="0F172A"/>
          <w:sz w:val="19"/>
        </w:rPr>
        <w:t>Implement Airflow SLA miss callbacks; establish executive single-pane DataOps reliability dashboard.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DataOps Assessment Executive Readout Report | Sample Deliverable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