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2563EB"/>
          <w:sz w:val="18"/>
        </w:rPr>
        <w:t>ENTERPRISE VALUE BLUEPRINT | VITHI DATAOPS PRACTICE</w:t>
      </w:r>
    </w:p>
    <w:p>
      <w:pPr>
        <w:spacing w:before="0" w:after="80"/>
      </w:pPr>
      <w:r>
        <w:rPr>
          <w:rFonts w:ascii="Segoe UI" w:hAnsi="Segoe UI"/>
          <w:b/>
          <w:color w:val="0F172A"/>
          <w:sz w:val="40"/>
        </w:rPr>
        <w:t>Enterprise DataOps Transformation Case Study</w:t>
      </w:r>
    </w:p>
    <w:p>
      <w:pPr>
        <w:spacing w:before="0" w:after="280"/>
      </w:pPr>
      <w:r>
        <w:rPr>
          <w:rFonts w:ascii="Segoe UI" w:hAnsi="Segoe UI"/>
          <w:color w:val="64748B"/>
          <w:sz w:val="21"/>
        </w:rPr>
        <w:t>Sanitized Reliability Value Blueprint: Eliminating Silent Batch Failures &amp; Slashing MTTR by 85%</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1F5F9"/>
            <w:tcMar>
              <w:top w:w="100" w:type="dxa"/>
              <w:bottom w:w="100" w:type="dxa"/>
              <w:left w:w="140" w:type="dxa"/>
              <w:right w:w="140" w:type="dxa"/>
            </w:tcMar>
          </w:tcPr>
          <w:p>
            <w:pPr>
              <w:spacing w:before="0" w:after="40"/>
            </w:pPr>
            <w:r>
              <w:rPr>
                <w:rFonts w:ascii="Segoe UI" w:hAnsi="Segoe UI"/>
                <w:b/>
                <w:color w:val="1E3A8A"/>
                <w:sz w:val="19"/>
              </w:rPr>
              <w:t>ENGAGEMENT CONTEXT</w:t>
              <w:br/>
            </w:r>
            <w:r>
              <w:rPr>
                <w:rFonts w:ascii="Segoe UI" w:hAnsi="Segoe UI"/>
                <w:color w:val="0F172A"/>
                <w:sz w:val="18"/>
              </w:rPr>
              <w:t>CUSTOMER PROFILE: High-growth digital wealth &amp; asset management platform running 140+ daily batch ETL pipelines and real-time Kafka streaming feeds supporting regulatory compliance and client portfolio P&amp;L reporting.</w:t>
              <w:br/>
              <w:t>ASSESSMENT BASELINE: Maturity Level 2.05 / 5.0 (Defined / Reactive)  →  TARGET ACHIEVED: Maturity Level 3.90 / 5.0 (SRE-Governed)</w:t>
            </w:r>
          </w:p>
        </w:tc>
      </w:tr>
    </w:tbl>
    <w:p>
      <w:pPr>
        <w:spacing w:after="40"/>
      </w:pPr>
    </w:p>
    <w:p>
      <w:pPr>
        <w:keepNext/>
        <w:spacing w:before="280" w:after="80"/>
      </w:pPr>
      <w:r>
        <w:rPr>
          <w:rFonts w:ascii="Segoe UI" w:hAnsi="Segoe UI"/>
          <w:b/>
          <w:color w:val="1E3A8A"/>
          <w:sz w:val="26"/>
        </w:rPr>
        <w:t>1. Executive Summary &amp; Operational Challenge</w:t>
      </w:r>
    </w:p>
    <w:p>
      <w:pPr>
        <w:spacing w:before="0" w:after="80" w:line="276" w:lineRule="auto"/>
      </w:pPr>
      <w:r>
        <w:rPr>
          <w:rFonts w:ascii="Segoe UI" w:hAnsi="Segoe UI"/>
          <w:color w:val="0F172A"/>
          <w:sz w:val="19"/>
        </w:rPr>
        <w:t>The enterprise data platform had expanded rapidly over 18 months, deploying Amazon MWAA, AWS Glue, and Amazon Redshift across 14 AWS accounts. However, this growth created acute operational vulnerability. Every month, an average of 18 batch pipelines failed or stalled, requiring 12 to 16 hours of emergency debugging. During end-of-quarter financial reconciliations, a silent schema drift in an upstream transactional database broke the daily Portfolio Valuation mart, resulting in an 8-hour executive reporting delay and severe regulatory audit exposure.</w:t>
      </w:r>
    </w:p>
    <w:p>
      <w:pPr>
        <w:spacing w:before="0" w:after="80" w:line="276" w:lineRule="auto"/>
      </w:pPr>
      <w:r>
        <w:rPr>
          <w:rFonts w:ascii="Segoe UI" w:hAnsi="Segoe UI"/>
          <w:color w:val="0F172A"/>
          <w:sz w:val="19"/>
        </w:rPr>
        <w:t>Vithi IT Solutions was engaged to conduct a focused two-week DataOps evidence diagnostic across 8 critical Tier-1 pipelines, followed by a targeted 90-day stabilization implementation sprint.</w:t>
      </w:r>
    </w:p>
    <w:p>
      <w:pPr>
        <w:keepNext/>
        <w:spacing w:before="280" w:after="80"/>
      </w:pPr>
      <w:r>
        <w:rPr>
          <w:rFonts w:ascii="Segoe UI" w:hAnsi="Segoe UI"/>
          <w:b/>
          <w:color w:val="1E3A8A"/>
          <w:sz w:val="26"/>
        </w:rPr>
        <w:t>2. Operational Trajectory: Before vs After Transformation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rPr>
          <w:tblHeader/>
          <w:cantSplit/>
        </w:trPr>
        <w:tc>
          <w:tcPr>
            <w:tcW w:type="dxa" w:w="2484"/>
            <w:shd w:fill="1E3A8A"/>
            <w:tcMar>
              <w:top w:w="120" w:type="dxa"/>
              <w:bottom w:w="120" w:type="dxa"/>
              <w:left w:w="120" w:type="dxa"/>
              <w:right w:w="120" w:type="dxa"/>
            </w:tcMar>
          </w:tcPr>
          <w:p>
            <w:pPr>
              <w:spacing w:before="0" w:after="0"/>
              <w:jc w:val="left"/>
            </w:pPr>
            <w:r>
              <w:rPr>
                <w:rFonts w:ascii="Segoe UI" w:hAnsi="Segoe UI"/>
                <w:b/>
                <w:color w:val="FFFFFF"/>
                <w:sz w:val="17"/>
              </w:rPr>
              <w:t>Operational Performance Indicator</w:t>
            </w:r>
          </w:p>
        </w:tc>
        <w:tc>
          <w:tcPr>
            <w:tcW w:type="dxa" w:w="2484"/>
            <w:shd w:fill="1E3A8A"/>
            <w:tcMar>
              <w:top w:w="120" w:type="dxa"/>
              <w:bottom w:w="120" w:type="dxa"/>
              <w:left w:w="120" w:type="dxa"/>
              <w:right w:w="120" w:type="dxa"/>
            </w:tcMar>
          </w:tcPr>
          <w:p>
            <w:pPr>
              <w:spacing w:before="0" w:after="0"/>
              <w:jc w:val="left"/>
            </w:pPr>
            <w:r>
              <w:rPr>
                <w:rFonts w:ascii="Segoe UI" w:hAnsi="Segoe UI"/>
                <w:b/>
                <w:color w:val="FFFFFF"/>
                <w:sz w:val="17"/>
              </w:rPr>
              <w:t>Pre-Assessment Baseline</w:t>
            </w:r>
          </w:p>
        </w:tc>
        <w:tc>
          <w:tcPr>
            <w:tcW w:type="dxa" w:w="2484"/>
            <w:shd w:fill="1E3A8A"/>
            <w:tcMar>
              <w:top w:w="120" w:type="dxa"/>
              <w:bottom w:w="120" w:type="dxa"/>
              <w:left w:w="120" w:type="dxa"/>
              <w:right w:w="120" w:type="dxa"/>
            </w:tcMar>
          </w:tcPr>
          <w:p>
            <w:pPr>
              <w:spacing w:before="0" w:after="0"/>
              <w:jc w:val="left"/>
            </w:pPr>
            <w:r>
              <w:rPr>
                <w:rFonts w:ascii="Segoe UI" w:hAnsi="Segoe UI"/>
                <w:b/>
                <w:color w:val="FFFFFF"/>
                <w:sz w:val="17"/>
              </w:rPr>
              <w:t>Post-Transformation State</w:t>
            </w:r>
          </w:p>
        </w:tc>
        <w:tc>
          <w:tcPr>
            <w:tcW w:type="dxa" w:w="2484"/>
            <w:shd w:fill="1E3A8A"/>
            <w:tcMar>
              <w:top w:w="120" w:type="dxa"/>
              <w:bottom w:w="120" w:type="dxa"/>
              <w:left w:w="120" w:type="dxa"/>
              <w:right w:w="120" w:type="dxa"/>
            </w:tcMar>
          </w:tcPr>
          <w:p>
            <w:pPr>
              <w:spacing w:before="0" w:after="0"/>
              <w:jc w:val="left"/>
            </w:pPr>
            <w:r>
              <w:rPr>
                <w:rFonts w:ascii="Segoe UI" w:hAnsi="Segoe UI"/>
                <w:b/>
                <w:color w:val="FFFFFF"/>
                <w:sz w:val="17"/>
              </w:rPr>
              <w:t>Strategic Operational Value</w:t>
            </w:r>
          </w:p>
        </w:tc>
      </w:tr>
      <w:tr>
        <w:trPr>
          <w:cantSplit/>
        </w:trPr>
        <w:tc>
          <w:tcPr>
            <w:tcW w:type="dxa" w:w="2484"/>
            <w:shd w:fill="FFFFFF"/>
            <w:tcMar>
              <w:top w:w="60" w:type="dxa"/>
              <w:bottom w:w="60" w:type="dxa"/>
              <w:left w:w="80" w:type="dxa"/>
              <w:right w:w="80" w:type="dxa"/>
            </w:tcMar>
          </w:tcPr>
          <w:p>
            <w:pPr>
              <w:spacing w:before="0" w:after="0"/>
            </w:pPr>
            <w:r>
              <w:rPr>
                <w:rFonts w:ascii="Segoe UI" w:hAnsi="Segoe UI"/>
                <w:b/>
                <w:color w:val="0F172A"/>
                <w:sz w:val="17"/>
              </w:rPr>
              <w:t>Mean Time to Resolve (MTTR)</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14 hours average per incident</w:t>
            </w:r>
          </w:p>
        </w:tc>
        <w:tc>
          <w:tcPr>
            <w:tcW w:type="dxa" w:w="2484"/>
            <w:shd w:fill="FFFFFF"/>
            <w:tcMar>
              <w:top w:w="60" w:type="dxa"/>
              <w:bottom w:w="60" w:type="dxa"/>
              <w:left w:w="80" w:type="dxa"/>
              <w:right w:w="80" w:type="dxa"/>
            </w:tcMar>
          </w:tcPr>
          <w:p>
            <w:pPr>
              <w:spacing w:before="0" w:after="0"/>
            </w:pPr>
            <w:r>
              <w:rPr>
                <w:rFonts w:ascii="Segoe UI" w:hAnsi="Segoe UI"/>
                <w:b/>
                <w:color w:val="166534"/>
                <w:sz w:val="17"/>
              </w:rPr>
              <w:t>85 minutes (-85%)</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Eliminated war rooms; automated root-cause hints pinpoint failure stages</w:t>
            </w:r>
          </w:p>
        </w:tc>
      </w:tr>
      <w:tr>
        <w:trPr>
          <w:cantSplit/>
        </w:trPr>
        <w:tc>
          <w:tcPr>
            <w:tcW w:type="dxa" w:w="2484"/>
            <w:shd w:fill="F8FAFC"/>
            <w:tcMar>
              <w:top w:w="60" w:type="dxa"/>
              <w:bottom w:w="60" w:type="dxa"/>
              <w:left w:w="80" w:type="dxa"/>
              <w:right w:w="80" w:type="dxa"/>
            </w:tcMar>
          </w:tcPr>
          <w:p>
            <w:pPr>
              <w:spacing w:before="0" w:after="0"/>
            </w:pPr>
            <w:r>
              <w:rPr>
                <w:rFonts w:ascii="Segoe UI" w:hAnsi="Segoe UI"/>
                <w:b/>
                <w:color w:val="0F172A"/>
                <w:sz w:val="17"/>
              </w:rPr>
              <w:t>Monthly Pipeline Failure Rate</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18 failures / month</w:t>
            </w:r>
          </w:p>
        </w:tc>
        <w:tc>
          <w:tcPr>
            <w:tcW w:type="dxa" w:w="2484"/>
            <w:shd w:fill="F8FAFC"/>
            <w:tcMar>
              <w:top w:w="60" w:type="dxa"/>
              <w:bottom w:w="60" w:type="dxa"/>
              <w:left w:w="80" w:type="dxa"/>
              <w:right w:w="80" w:type="dxa"/>
            </w:tcMar>
          </w:tcPr>
          <w:p>
            <w:pPr>
              <w:spacing w:before="0" w:after="0"/>
            </w:pPr>
            <w:r>
              <w:rPr>
                <w:rFonts w:ascii="Segoe UI" w:hAnsi="Segoe UI"/>
                <w:b/>
                <w:color w:val="166534"/>
                <w:sz w:val="17"/>
              </w:rPr>
              <w:t>&lt;2 failures / month (-89%)</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Prevented silent job stalls; retry backoffs handle transient network issues</w:t>
            </w:r>
          </w:p>
        </w:tc>
      </w:tr>
      <w:tr>
        <w:trPr>
          <w:cantSplit/>
        </w:trPr>
        <w:tc>
          <w:tcPr>
            <w:tcW w:type="dxa" w:w="2484"/>
            <w:shd w:fill="FFFFFF"/>
            <w:tcMar>
              <w:top w:w="60" w:type="dxa"/>
              <w:bottom w:w="60" w:type="dxa"/>
              <w:left w:w="80" w:type="dxa"/>
              <w:right w:w="80" w:type="dxa"/>
            </w:tcMar>
          </w:tcPr>
          <w:p>
            <w:pPr>
              <w:spacing w:before="0" w:after="0"/>
            </w:pPr>
            <w:r>
              <w:rPr>
                <w:rFonts w:ascii="Segoe UI" w:hAnsi="Segoe UI"/>
                <w:b/>
                <w:color w:val="0F172A"/>
                <w:sz w:val="17"/>
              </w:rPr>
              <w:t>Data Quality Defect Detection</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Caught days later by business</w:t>
            </w:r>
          </w:p>
        </w:tc>
        <w:tc>
          <w:tcPr>
            <w:tcW w:type="dxa" w:w="2484"/>
            <w:shd w:fill="FFFFFF"/>
            <w:tcMar>
              <w:top w:w="60" w:type="dxa"/>
              <w:bottom w:w="60" w:type="dxa"/>
              <w:left w:w="80" w:type="dxa"/>
              <w:right w:w="80" w:type="dxa"/>
            </w:tcMar>
          </w:tcPr>
          <w:p>
            <w:pPr>
              <w:spacing w:before="0" w:after="0"/>
            </w:pPr>
            <w:r>
              <w:rPr>
                <w:rFonts w:ascii="Segoe UI" w:hAnsi="Segoe UI"/>
                <w:b/>
                <w:color w:val="166534"/>
                <w:sz w:val="17"/>
              </w:rPr>
              <w:t>&lt;10 minutes (Ingestion gate)</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Schema drift automatically quarantined before corrupting Redshift</w:t>
            </w:r>
          </w:p>
        </w:tc>
      </w:tr>
      <w:tr>
        <w:trPr>
          <w:cantSplit/>
        </w:trPr>
        <w:tc>
          <w:tcPr>
            <w:tcW w:type="dxa" w:w="2484"/>
            <w:shd w:fill="F8FAFC"/>
            <w:tcMar>
              <w:top w:w="60" w:type="dxa"/>
              <w:bottom w:w="60" w:type="dxa"/>
              <w:left w:w="80" w:type="dxa"/>
              <w:right w:w="80" w:type="dxa"/>
            </w:tcMar>
          </w:tcPr>
          <w:p>
            <w:pPr>
              <w:spacing w:before="0" w:after="0"/>
            </w:pPr>
            <w:r>
              <w:rPr>
                <w:rFonts w:ascii="Segoe UI" w:hAnsi="Segoe UI"/>
                <w:b/>
                <w:color w:val="0F172A"/>
                <w:sz w:val="17"/>
              </w:rPr>
              <w:t>Engineering Triage Capacity</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320 hours/month on manual SQL</w:t>
            </w:r>
          </w:p>
        </w:tc>
        <w:tc>
          <w:tcPr>
            <w:tcW w:type="dxa" w:w="2484"/>
            <w:shd w:fill="F8FAFC"/>
            <w:tcMar>
              <w:top w:w="60" w:type="dxa"/>
              <w:bottom w:w="60" w:type="dxa"/>
              <w:left w:w="80" w:type="dxa"/>
              <w:right w:w="80" w:type="dxa"/>
            </w:tcMar>
          </w:tcPr>
          <w:p>
            <w:pPr>
              <w:spacing w:before="0" w:after="0"/>
            </w:pPr>
            <w:r>
              <w:rPr>
                <w:rFonts w:ascii="Segoe UI" w:hAnsi="Segoe UI"/>
                <w:b/>
                <w:color w:val="166534"/>
                <w:sz w:val="17"/>
              </w:rPr>
              <w:t>Recovered 320 hrs/mo</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Engineers freed from repetitive firefighting to build new analytical models</w:t>
            </w:r>
          </w:p>
        </w:tc>
      </w:tr>
      <w:tr>
        <w:trPr>
          <w:cantSplit/>
        </w:trPr>
        <w:tc>
          <w:tcPr>
            <w:tcW w:type="dxa" w:w="2484"/>
            <w:shd w:fill="FFFFFF"/>
            <w:tcMar>
              <w:top w:w="60" w:type="dxa"/>
              <w:bottom w:w="60" w:type="dxa"/>
              <w:left w:w="80" w:type="dxa"/>
              <w:right w:w="80" w:type="dxa"/>
            </w:tcMar>
          </w:tcPr>
          <w:p>
            <w:pPr>
              <w:spacing w:before="0" w:after="0"/>
            </w:pPr>
            <w:r>
              <w:rPr>
                <w:rFonts w:ascii="Segoe UI" w:hAnsi="Segoe UI"/>
                <w:b/>
                <w:color w:val="0F172A"/>
                <w:sz w:val="17"/>
              </w:rPr>
              <w:t>Critical T+1 SLA Delivery</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78% on-time delivery</w:t>
            </w:r>
          </w:p>
        </w:tc>
        <w:tc>
          <w:tcPr>
            <w:tcW w:type="dxa" w:w="2484"/>
            <w:shd w:fill="FFFFFF"/>
            <w:tcMar>
              <w:top w:w="60" w:type="dxa"/>
              <w:bottom w:w="60" w:type="dxa"/>
              <w:left w:w="80" w:type="dxa"/>
              <w:right w:w="80" w:type="dxa"/>
            </w:tcMar>
          </w:tcPr>
          <w:p>
            <w:pPr>
              <w:spacing w:before="0" w:after="0"/>
            </w:pPr>
            <w:r>
              <w:rPr>
                <w:rFonts w:ascii="Segoe UI" w:hAnsi="Segoe UI"/>
                <w:b/>
                <w:color w:val="166534"/>
                <w:sz w:val="17"/>
              </w:rPr>
              <w:t>99.9% on-time delivery</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Guarantees morning 06:00 AM executive wealth reporting compliance</w:t>
            </w:r>
          </w:p>
        </w:tc>
      </w:tr>
      <w:tr>
        <w:trPr>
          <w:cantSplit/>
        </w:trPr>
        <w:tc>
          <w:tcPr>
            <w:tcW w:type="dxa" w:w="2484"/>
            <w:shd w:fill="F8FAFC"/>
            <w:tcMar>
              <w:top w:w="60" w:type="dxa"/>
              <w:bottom w:w="60" w:type="dxa"/>
              <w:left w:w="80" w:type="dxa"/>
              <w:right w:w="80" w:type="dxa"/>
            </w:tcMar>
          </w:tcPr>
          <w:p>
            <w:pPr>
              <w:spacing w:before="0" w:after="0"/>
            </w:pPr>
            <w:r>
              <w:rPr>
                <w:rFonts w:ascii="Segoe UI" w:hAnsi="Segoe UI"/>
                <w:b/>
                <w:color w:val="0F172A"/>
                <w:sz w:val="17"/>
              </w:rPr>
              <w:t>Replay &amp; Backfill Reliability</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Manual scripts (duplicate rows)</w:t>
            </w:r>
          </w:p>
        </w:tc>
        <w:tc>
          <w:tcPr>
            <w:tcW w:type="dxa" w:w="2484"/>
            <w:shd w:fill="F8FAFC"/>
            <w:tcMar>
              <w:top w:w="60" w:type="dxa"/>
              <w:bottom w:w="60" w:type="dxa"/>
              <w:left w:w="80" w:type="dxa"/>
              <w:right w:w="80" w:type="dxa"/>
            </w:tcMar>
          </w:tcPr>
          <w:p>
            <w:pPr>
              <w:spacing w:before="0" w:after="0"/>
            </w:pPr>
            <w:r>
              <w:rPr>
                <w:rFonts w:ascii="Segoe UI" w:hAnsi="Segoe UI"/>
                <w:b/>
                <w:color w:val="166534"/>
                <w:sz w:val="17"/>
              </w:rPr>
              <w:t>100% Idempotent replays</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Zero duplicate row generation during partial backfilling runs</w:t>
            </w:r>
          </w:p>
        </w:tc>
      </w:tr>
    </w:tbl>
    <w:p>
      <w:pPr>
        <w:spacing w:after="40"/>
      </w:pPr>
    </w:p>
    <w:p>
      <w:pPr>
        <w:keepNext/>
        <w:spacing w:before="280" w:after="80"/>
      </w:pPr>
      <w:r>
        <w:rPr>
          <w:rFonts w:ascii="Segoe UI" w:hAnsi="Segoe UI"/>
          <w:b/>
          <w:color w:val="1E3A8A"/>
          <w:sz w:val="26"/>
        </w:rPr>
        <w:t>3. Implementation Highlights Across Core Dimensions</w:t>
      </w:r>
    </w:p>
    <w:p>
      <w:pPr>
        <w:keepNext/>
        <w:spacing w:before="200" w:after="60"/>
      </w:pPr>
      <w:r>
        <w:rPr>
          <w:rFonts w:ascii="Segoe UI" w:hAnsi="Segoe UI"/>
          <w:b/>
          <w:color w:val="334155"/>
          <w:sz w:val="21"/>
        </w:rPr>
        <w:t>D1 &amp; D4: Idempotent Replay &amp; Airflow DAG Resilience</w:t>
      </w:r>
    </w:p>
    <w:p>
      <w:pPr>
        <w:spacing w:before="0" w:after="80" w:line="276" w:lineRule="auto"/>
      </w:pPr>
      <w:r>
        <w:rPr>
          <w:rFonts w:ascii="Segoe UI" w:hAnsi="Segoe UI"/>
          <w:color w:val="0F172A"/>
          <w:sz w:val="19"/>
        </w:rPr>
        <w:t>Vithi re-engineered the top-8 fragile Airflow DAGs. Replaced non-deterministic insert scripts with idempotent MERGE / UPSERT staging logic, configured exponential backoffs for transient network timeouts, and established safe partition-level backfill mechanics.</w:t>
      </w:r>
    </w:p>
    <w:p>
      <w:pPr>
        <w:keepNext/>
        <w:spacing w:before="200" w:after="60"/>
      </w:pPr>
      <w:r>
        <w:rPr>
          <w:rFonts w:ascii="Segoe UI" w:hAnsi="Segoe UI"/>
          <w:b/>
          <w:color w:val="334155"/>
          <w:sz w:val="21"/>
        </w:rPr>
        <w:t>D2: Automated Data Quality &amp; Schema Drift Quarantine</w:t>
      </w:r>
    </w:p>
    <w:p>
      <w:pPr>
        <w:spacing w:before="0" w:after="80" w:line="276" w:lineRule="auto"/>
      </w:pPr>
      <w:r>
        <w:rPr>
          <w:rFonts w:ascii="Segoe UI" w:hAnsi="Segoe UI"/>
          <w:color w:val="0F172A"/>
          <w:sz w:val="19"/>
        </w:rPr>
        <w:t>Integrated Great Expectations test suites directly at the S3 landing zone. If an upstream database drops a column or introduces unexpected null rates exceeding 2%, the bad batch is automatically routed to an S3 quarantine bucket, and an immediate P1 alert is triggered with exact column mutation details.</w:t>
      </w:r>
    </w:p>
    <w:p>
      <w:pPr>
        <w:keepNext/>
        <w:spacing w:before="200" w:after="60"/>
      </w:pPr>
      <w:r>
        <w:rPr>
          <w:rFonts w:ascii="Segoe UI" w:hAnsi="Segoe UI"/>
          <w:b/>
          <w:color w:val="334155"/>
          <w:sz w:val="21"/>
        </w:rPr>
        <w:t>D5: SRE-Grade Runbooks &amp; Incident Taxonomy</w:t>
      </w:r>
    </w:p>
    <w:p>
      <w:pPr>
        <w:spacing w:before="0" w:after="80" w:line="276" w:lineRule="auto"/>
      </w:pPr>
      <w:r>
        <w:rPr>
          <w:rFonts w:ascii="Segoe UI" w:hAnsi="Segoe UI"/>
          <w:color w:val="0F172A"/>
          <w:sz w:val="19"/>
        </w:rPr>
        <w:t>Authored verified operational runbooks for the 15 most frequent failure modes (e.g., Redshift lock contention, Glue memory exhaustion, Airflow worker stalls). Each PagerDuty alert now includes a 1-click runbook link enabling on-call engineers to resolve issues in under 15 minutes.</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1F5F9"/>
            <w:tcMar>
              <w:top w:w="100" w:type="dxa"/>
              <w:bottom w:w="100" w:type="dxa"/>
              <w:left w:w="140" w:type="dxa"/>
              <w:right w:w="140" w:type="dxa"/>
            </w:tcMar>
          </w:tcPr>
          <w:p>
            <w:pPr>
              <w:spacing w:before="0" w:after="40"/>
            </w:pPr>
            <w:r>
              <w:rPr>
                <w:rFonts w:ascii="Segoe UI" w:hAnsi="Segoe UI"/>
                <w:b/>
                <w:color w:val="1E3A8A"/>
                <w:sz w:val="19"/>
              </w:rPr>
              <w:t>DIAGNOSTIC BENCHMARK GOVERNANCE</w:t>
              <w:br/>
            </w:r>
            <w:r>
              <w:rPr>
                <w:rFonts w:ascii="Segoe UI" w:hAnsi="Segoe UI"/>
                <w:color w:val="0F172A"/>
                <w:sz w:val="18"/>
              </w:rPr>
              <w:t>BENCHMARK CAVEAT: Operational baselines, MTTR reductions, and capacity recoveries reflect production results achieved in this specific sanitized enterprise engagement. Potential benefits in other environments depend upon baseline assessment findings and agreed technical scope.</w:t>
            </w:r>
          </w:p>
        </w:tc>
      </w:tr>
    </w:tbl>
    <w:p>
      <w:pPr>
        <w:spacing w:after="4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DataOps Value Blueprint | Sanitized Enterprise Study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DATAOPS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