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2563EB"/>
          <w:sz w:val="18"/>
        </w:rPr>
        <w:t>COLLABORATIVE CHARTER | VITHI DATAOPS PRACTICE</w:t>
      </w:r>
    </w:p>
    <w:p>
      <w:pPr>
        <w:spacing w:before="0" w:after="80"/>
      </w:pPr>
      <w:r>
        <w:rPr>
          <w:rFonts w:ascii="Segoe UI" w:hAnsi="Segoe UI"/>
          <w:b/>
          <w:color w:val="0F172A"/>
          <w:sz w:val="40"/>
        </w:rPr>
        <w:t>Why Vithi &amp; The Internal Engineering Partnership Charter</w:t>
      </w:r>
    </w:p>
    <w:p>
      <w:pPr>
        <w:spacing w:before="0" w:after="280"/>
      </w:pPr>
      <w:r>
        <w:rPr>
          <w:rFonts w:ascii="Segoe UI" w:hAnsi="Segoe UI"/>
          <w:color w:val="64748B"/>
          <w:sz w:val="21"/>
        </w:rPr>
        <w:t>A Collaborative, Non-Threatening Framework for Partnering with In-House Data Teams</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DBEAFE"/>
            <w:tcMar>
              <w:top w:w="100" w:type="dxa"/>
              <w:bottom w:w="100" w:type="dxa"/>
              <w:left w:w="140" w:type="dxa"/>
              <w:right w:w="140" w:type="dxa"/>
            </w:tcMar>
          </w:tcPr>
          <w:p>
            <w:pPr>
              <w:spacing w:before="0" w:after="40"/>
            </w:pPr>
            <w:r>
              <w:rPr>
                <w:rFonts w:ascii="Segoe UI" w:hAnsi="Segoe UI"/>
                <w:b/>
                <w:color w:val="1E3A8A"/>
                <w:sz w:val="19"/>
              </w:rPr>
              <w:t>THE VITHI COLLABORATIVE PLEDGE</w:t>
              <w:br/>
            </w:r>
            <w:r>
              <w:rPr>
                <w:rFonts w:ascii="Segoe UI" w:hAnsi="Segoe UI"/>
                <w:color w:val="0F172A"/>
                <w:sz w:val="18"/>
              </w:rPr>
              <w:t>ALLIANCE COMMITMENT: Vithi never audits to criticize or replace internal data engineering teams. We act as an external technical ally, validating known debt, unlocking executive mandate, and accelerating the roadmap your engineers already want to build.</w:t>
            </w:r>
          </w:p>
        </w:tc>
      </w:tr>
    </w:tbl>
    <w:p>
      <w:pPr>
        <w:spacing w:after="40"/>
      </w:pPr>
    </w:p>
    <w:p>
      <w:pPr>
        <w:keepNext/>
        <w:spacing w:before="280" w:after="80"/>
      </w:pPr>
      <w:r>
        <w:rPr>
          <w:rFonts w:ascii="Segoe UI" w:hAnsi="Segoe UI"/>
          <w:b/>
          <w:color w:val="1E3A8A"/>
          <w:sz w:val="26"/>
        </w:rPr>
        <w:t>1. The 7 Ground Rules of Collaboration</w:t>
      </w:r>
    </w:p>
    <w:p>
      <w:pPr>
        <w:pStyle w:val="ListBullet"/>
        <w:spacing w:before="0" w:after="60" w:line="276" w:lineRule="auto"/>
      </w:pPr>
      <w:r>
        <w:rPr>
          <w:rFonts w:ascii="Segoe UI" w:hAnsi="Segoe UI"/>
          <w:b/>
          <w:color w:val="0F172A"/>
          <w:sz w:val="19"/>
        </w:rPr>
        <w:t xml:space="preserve">1. No-Blame Assessment: </w:t>
      </w:r>
      <w:r>
        <w:rPr>
          <w:rFonts w:ascii="Segoe UI" w:hAnsi="Segoe UI"/>
          <w:color w:val="0F172A"/>
          <w:sz w:val="19"/>
        </w:rPr>
        <w:t>Focus strictly on pipeline architecture, retry mechanics, and tooling friction—never individual or squad competency.</w:t>
      </w:r>
    </w:p>
    <w:p>
      <w:pPr>
        <w:pStyle w:val="ListBullet"/>
        <w:spacing w:before="0" w:after="60" w:line="276" w:lineRule="auto"/>
      </w:pPr>
      <w:r>
        <w:rPr>
          <w:rFonts w:ascii="Segoe UI" w:hAnsi="Segoe UI"/>
          <w:b/>
          <w:color w:val="0F172A"/>
          <w:sz w:val="19"/>
        </w:rPr>
        <w:t xml:space="preserve">2. Evidence Over Opinion: </w:t>
      </w:r>
      <w:r>
        <w:rPr>
          <w:rFonts w:ascii="Segoe UI" w:hAnsi="Segoe UI"/>
          <w:color w:val="0F172A"/>
          <w:sz w:val="19"/>
        </w:rPr>
        <w:t>Replace subjective debates between Data Engineers and Business Analysts with verifiable logs, DAG metadata, and error history.</w:t>
      </w:r>
    </w:p>
    <w:p>
      <w:pPr>
        <w:pStyle w:val="ListBullet"/>
        <w:spacing w:before="0" w:after="60" w:line="276" w:lineRule="auto"/>
      </w:pPr>
      <w:r>
        <w:rPr>
          <w:rFonts w:ascii="Segoe UI" w:hAnsi="Segoe UI"/>
          <w:b/>
          <w:color w:val="0F172A"/>
          <w:sz w:val="19"/>
        </w:rPr>
        <w:t xml:space="preserve">3. 100% Read-Only Inspection: </w:t>
      </w:r>
      <w:r>
        <w:rPr>
          <w:rFonts w:ascii="Segoe UI" w:hAnsi="Segoe UI"/>
          <w:color w:val="0F172A"/>
          <w:sz w:val="19"/>
        </w:rPr>
        <w:t>Operate under AWS SecurityAudit and ViewOnlyAccess roles. Zero production agent installs; zero impact on running pipelines.</w:t>
      </w:r>
    </w:p>
    <w:p>
      <w:pPr>
        <w:pStyle w:val="ListBullet"/>
        <w:spacing w:before="0" w:after="60" w:line="276" w:lineRule="auto"/>
      </w:pPr>
      <w:r>
        <w:rPr>
          <w:rFonts w:ascii="Segoe UI" w:hAnsi="Segoe UI"/>
          <w:b/>
          <w:color w:val="0F172A"/>
          <w:sz w:val="19"/>
        </w:rPr>
        <w:t xml:space="preserve">4. Existing Tool Reuse First: </w:t>
      </w:r>
      <w:r>
        <w:rPr>
          <w:rFonts w:ascii="Segoe UI" w:hAnsi="Segoe UI"/>
          <w:color w:val="0F172A"/>
          <w:sz w:val="19"/>
        </w:rPr>
        <w:t>Prioritize tuning existing AWS services (CloudWatch, MWAA, Glue, Step Functions) before recommending any new software purchases.</w:t>
      </w:r>
    </w:p>
    <w:p>
      <w:pPr>
        <w:pStyle w:val="ListBullet"/>
        <w:spacing w:before="0" w:after="60" w:line="276" w:lineRule="auto"/>
      </w:pPr>
      <w:r>
        <w:rPr>
          <w:rFonts w:ascii="Segoe UI" w:hAnsi="Segoe UI"/>
          <w:b/>
          <w:color w:val="0F172A"/>
          <w:sz w:val="19"/>
        </w:rPr>
        <w:t xml:space="preserve">5. Internal Team Validates Findings: </w:t>
      </w:r>
      <w:r>
        <w:rPr>
          <w:rFonts w:ascii="Segoe UI" w:hAnsi="Segoe UI"/>
          <w:color w:val="0F172A"/>
          <w:sz w:val="19"/>
        </w:rPr>
        <w:t>In-house data squad leads review and calibrate all diagnostic scoring before executive readout presentations.</w:t>
      </w:r>
    </w:p>
    <w:p>
      <w:pPr>
        <w:pStyle w:val="ListBullet"/>
        <w:spacing w:before="0" w:after="60" w:line="276" w:lineRule="auto"/>
      </w:pPr>
      <w:r>
        <w:rPr>
          <w:rFonts w:ascii="Segoe UI" w:hAnsi="Segoe UI"/>
          <w:b/>
          <w:color w:val="0F172A"/>
          <w:sz w:val="19"/>
        </w:rPr>
        <w:t xml:space="preserve">6. Roadmaps Co-Designed With Owners: </w:t>
      </w:r>
      <w:r>
        <w:rPr>
          <w:rFonts w:ascii="Segoe UI" w:hAnsi="Segoe UI"/>
          <w:color w:val="0F172A"/>
          <w:sz w:val="19"/>
        </w:rPr>
        <w:t>Implementation milestones and sprint scopes are co-authored with in-house leads to match realistic team capacity.</w:t>
      </w:r>
    </w:p>
    <w:p>
      <w:pPr>
        <w:pStyle w:val="ListBullet"/>
        <w:spacing w:before="0" w:after="60" w:line="276" w:lineRule="auto"/>
      </w:pPr>
      <w:r>
        <w:rPr>
          <w:rFonts w:ascii="Segoe UI" w:hAnsi="Segoe UI"/>
          <w:b/>
          <w:color w:val="0F172A"/>
          <w:sz w:val="19"/>
        </w:rPr>
        <w:t xml:space="preserve">7. Quick Wins Delivered First: </w:t>
      </w:r>
      <w:r>
        <w:rPr>
          <w:rFonts w:ascii="Segoe UI" w:hAnsi="Segoe UI"/>
          <w:color w:val="0F172A"/>
          <w:sz w:val="19"/>
        </w:rPr>
        <w:t>Deliver immediate relief (such as silencing noisy false alarms, fixing top-2 retry timeouts) to give engineers instant breathing room.</w:t>
      </w:r>
    </w:p>
    <w:p>
      <w:pPr>
        <w:keepNext/>
        <w:spacing w:before="280" w:after="80"/>
      </w:pPr>
      <w:r>
        <w:rPr>
          <w:rFonts w:ascii="Segoe UI" w:hAnsi="Segoe UI"/>
          <w:b/>
          <w:color w:val="1E3A8A"/>
          <w:sz w:val="26"/>
        </w:rPr>
        <w:t>2. What We Require vs. What We Hand Back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334155"/>
            <w:tcMar>
              <w:top w:w="120" w:type="dxa"/>
              <w:bottom w:w="120" w:type="dxa"/>
              <w:left w:w="120" w:type="dxa"/>
              <w:right w:w="120" w:type="dxa"/>
            </w:tcMar>
          </w:tcPr>
          <w:p>
            <w:pPr>
              <w:spacing w:before="0" w:after="0"/>
              <w:jc w:val="left"/>
            </w:pPr>
            <w:r>
              <w:rPr>
                <w:rFonts w:ascii="Segoe UI" w:hAnsi="Segoe UI"/>
                <w:b/>
                <w:color w:val="FFFFFF"/>
                <w:sz w:val="17"/>
              </w:rPr>
              <w:t>What We Ask From In-House Squads</w:t>
            </w:r>
          </w:p>
        </w:tc>
        <w:tc>
          <w:tcPr>
            <w:tcW w:type="dxa" w:w="4968"/>
            <w:shd w:fill="334155"/>
            <w:tcMar>
              <w:top w:w="120" w:type="dxa"/>
              <w:bottom w:w="120" w:type="dxa"/>
              <w:left w:w="120" w:type="dxa"/>
              <w:right w:w="120" w:type="dxa"/>
            </w:tcMar>
          </w:tcPr>
          <w:p>
            <w:pPr>
              <w:spacing w:before="0" w:after="0"/>
              <w:jc w:val="left"/>
            </w:pPr>
            <w:r>
              <w:rPr>
                <w:rFonts w:ascii="Segoe UI" w:hAnsi="Segoe UI"/>
                <w:b/>
                <w:color w:val="FFFFFF"/>
                <w:sz w:val="17"/>
              </w:rPr>
              <w:t>What Vithi Hands Back to In-House Teams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 Less than 10 total interview hours over 2 weeks</w:t>
              <w:br/>
              <w:t>• Read-only IAM access (SecurityAudit / ViewOnly)</w:t>
              <w:br/>
              <w:t>• Access to 90-day DAG logs and architecture docs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 85%+ reduction in pipeline incident MTTR</w:t>
              <w:br/>
              <w:t>• Verified 1-click operational runbooks for top failures</w:t>
              <w:br/>
              <w:t>• Reclaimed 300+ engineering hours/month</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 Verification of critical pipeline list (5–10 pipelines)</w:t>
              <w:br/>
              <w:t>• Open walkthrough of known bottlenecks and pain points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 Objective, neutral DEV01–DEV12 diagnostic baseline</w:t>
              <w:br/>
              <w:t>• Elimination of business vs data engineering finger-pointing</w:t>
              <w:br/>
              <w:t>• Clear SLA governance and error budget policies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 Calibration review of preliminary diagnostic scores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 Executive-backed board deck and secured technical mandate</w:t>
              <w:br/>
              <w:t>• Prioritized 30/60/90-day DataOps engineering backlog</w:t>
              <w:br/>
              <w:t>• Defensible architecture to prevent recurring outages</w:t>
            </w:r>
          </w:p>
        </w:tc>
      </w:tr>
    </w:tbl>
    <w:p>
      <w:pPr>
        <w:spacing w:after="4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How Vithi Works With Your Internal Data Teams | Collaborative Charter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DATAOPS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